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D" w:rsidRPr="00966DEC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  <w:r w:rsidRPr="00966DEC">
        <w:rPr>
          <w:b/>
          <w:color w:val="000000"/>
          <w:sz w:val="28"/>
          <w:szCs w:val="28"/>
        </w:rPr>
        <w:t>Глава 2. Россия в современности.</w:t>
      </w:r>
    </w:p>
    <w:p w:rsidR="002A7F5D" w:rsidRPr="00966DEC" w:rsidRDefault="002A7F5D" w:rsidP="002A7F5D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966DEC">
        <w:rPr>
          <w:b/>
          <w:color w:val="000000"/>
          <w:sz w:val="28"/>
          <w:szCs w:val="28"/>
        </w:rPr>
        <w:t>Текущее состояние электрификации России.</w:t>
      </w:r>
    </w:p>
    <w:p w:rsidR="002A7F5D" w:rsidRPr="00966DEC" w:rsidRDefault="002A7F5D" w:rsidP="002A7F5D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966DEC">
        <w:rPr>
          <w:b/>
          <w:color w:val="000000"/>
          <w:sz w:val="28"/>
          <w:szCs w:val="28"/>
        </w:rPr>
        <w:t>Прогнозные оценки развития электрификации до 2030 года.</w:t>
      </w:r>
    </w:p>
    <w:p w:rsidR="002A7F5D" w:rsidRPr="00966DEC" w:rsidRDefault="002A7F5D" w:rsidP="002A7F5D">
      <w:pPr>
        <w:pStyle w:val="a3"/>
        <w:rPr>
          <w:b/>
          <w:color w:val="000000"/>
          <w:sz w:val="28"/>
          <w:szCs w:val="28"/>
        </w:rPr>
      </w:pPr>
      <w:r w:rsidRPr="00966DEC">
        <w:rPr>
          <w:b/>
          <w:color w:val="000000"/>
          <w:sz w:val="28"/>
          <w:szCs w:val="28"/>
        </w:rPr>
        <w:t>2.1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На данный момент во многих</w:t>
      </w:r>
      <w:r w:rsidRPr="00966DEC">
        <w:rPr>
          <w:rStyle w:val="a6"/>
          <w:color w:val="000000"/>
          <w:sz w:val="28"/>
          <w:szCs w:val="28"/>
        </w:rPr>
        <w:footnoteReference w:id="1"/>
      </w:r>
      <w:r w:rsidRPr="00966DEC">
        <w:rPr>
          <w:color w:val="000000"/>
          <w:sz w:val="28"/>
          <w:szCs w:val="28"/>
        </w:rPr>
        <w:t xml:space="preserve"> источниках отмечается, что сейчас Российская Федерация отстает от стран, входящих в </w:t>
      </w:r>
      <w:r w:rsidRPr="00966DEC">
        <w:rPr>
          <w:color w:val="000000"/>
          <w:sz w:val="28"/>
          <w:szCs w:val="28"/>
          <w:lang w:val="en-GB"/>
        </w:rPr>
        <w:t>G</w:t>
      </w:r>
      <w:r w:rsidRPr="00966DEC">
        <w:rPr>
          <w:color w:val="000000"/>
          <w:sz w:val="28"/>
          <w:szCs w:val="28"/>
        </w:rPr>
        <w:t>7</w:t>
      </w:r>
      <w:r w:rsidRPr="00966DEC">
        <w:rPr>
          <w:rStyle w:val="a6"/>
          <w:color w:val="000000"/>
          <w:sz w:val="28"/>
          <w:szCs w:val="28"/>
        </w:rPr>
        <w:footnoteReference w:id="2"/>
      </w:r>
      <w:r w:rsidRPr="00966DEC">
        <w:rPr>
          <w:color w:val="000000"/>
          <w:sz w:val="28"/>
          <w:szCs w:val="28"/>
        </w:rPr>
        <w:t>. Однако сейчас Российская Федерация имеет огромный потенциал в развитии. Это отчетливо проявляется в сравнении произведенного электричества на душу населения в России и в странах «Большой семерки».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Россия выделяется непомерно высокой электроемкостью</w:t>
      </w:r>
      <w:r w:rsidRPr="00966DEC">
        <w:rPr>
          <w:rStyle w:val="a6"/>
          <w:color w:val="000000"/>
          <w:sz w:val="28"/>
          <w:szCs w:val="28"/>
        </w:rPr>
        <w:footnoteReference w:id="3"/>
      </w:r>
      <w:r w:rsidRPr="00966DEC">
        <w:rPr>
          <w:color w:val="000000"/>
          <w:sz w:val="28"/>
          <w:szCs w:val="28"/>
        </w:rPr>
        <w:t>, что в первую очередь связано со сравнительно низким уровнем душевного производства ВВП</w:t>
      </w:r>
      <w:r w:rsidRPr="00966DEC">
        <w:rPr>
          <w:rStyle w:val="a6"/>
          <w:color w:val="000000"/>
          <w:sz w:val="28"/>
          <w:szCs w:val="28"/>
        </w:rPr>
        <w:footnoteReference w:id="4"/>
      </w:r>
      <w:r w:rsidRPr="00966DEC">
        <w:rPr>
          <w:color w:val="000000"/>
          <w:sz w:val="28"/>
          <w:szCs w:val="28"/>
        </w:rPr>
        <w:t>, характерным для стран с сырьевой ориентацией экономики. Но даже при переходе России к опережающему развитию обрабатывающих отраслей промышленности, что активизирует рост ВВП, уровень электроемкости этого показателя останется таким же высоким из-за влияния холодного климата и больших транспортных расстояний.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В 1991 году, когда произошел распад СССР, экономика находилась на довольно приемлемом уровне, однако начавшийся кризис и дефолт 1998 года привел к снижению выработки электроэнергии. 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В России после уже упомянутого дефолта параллельно развиваются три процесса: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Во-первых, изначально подъем экономики за счет увеличения загрузки существующих свободных мощностей производства. В результате сформировались условия для резкого увеличения темпов роста спроса на электроэнергию и мощность. 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Во-вторых, финансовая политика, которая проводилась в электроэнергетике после 2000 года, привела к тому, что место того, чтобы наращивать электростанций и пропускную способность линий электропередач, страна была больше заинтересована в приобретении существующих энергетических и непрофильных активов, что не способствовало развитию и техническому укреплению отрасли. По инвестиционным оценкам, электроэнергетика в этот </w:t>
      </w:r>
      <w:r w:rsidRPr="00966DEC">
        <w:rPr>
          <w:color w:val="000000"/>
          <w:sz w:val="28"/>
          <w:szCs w:val="28"/>
        </w:rPr>
        <w:lastRenderedPageBreak/>
        <w:t>период получала примерно треть инвестиций от необходимого количества для устойчивого развития.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В-третьих, именно тогда отчетливо проявилось стремление крупных компаний покупать у холдинга РАО «ЕЭС России» электроэнергетические активы вплоть до контрольных пакетов акций электростанций и сооружать собственные </w:t>
      </w:r>
      <w:proofErr w:type="spellStart"/>
      <w:r w:rsidRPr="00966DEC">
        <w:rPr>
          <w:color w:val="000000"/>
          <w:sz w:val="28"/>
          <w:szCs w:val="28"/>
        </w:rPr>
        <w:t>энергообъекты</w:t>
      </w:r>
      <w:proofErr w:type="spellEnd"/>
      <w:r w:rsidRPr="00966DEC">
        <w:rPr>
          <w:color w:val="000000"/>
          <w:sz w:val="28"/>
          <w:szCs w:val="28"/>
        </w:rPr>
        <w:t>. Этот процесс отражает желание компаний обеспечить низкие цены на энергию для своего производства. Такое их поведение было вполне ожидаемо.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В условиях дисбаланса спроса и предложения электроэнергии средствами регулирования становятся перестройка экономики, энергосбережения и временные отключения электричества. При этом</w:t>
      </w:r>
      <w:proofErr w:type="gramStart"/>
      <w:r w:rsidRPr="00966DEC">
        <w:rPr>
          <w:color w:val="000000"/>
          <w:sz w:val="28"/>
          <w:szCs w:val="28"/>
        </w:rPr>
        <w:t>,</w:t>
      </w:r>
      <w:proofErr w:type="gramEnd"/>
      <w:r w:rsidRPr="00966DEC">
        <w:rPr>
          <w:color w:val="000000"/>
          <w:sz w:val="28"/>
          <w:szCs w:val="28"/>
        </w:rPr>
        <w:t xml:space="preserve"> накопленный потенциал </w:t>
      </w:r>
      <w:proofErr w:type="spellStart"/>
      <w:r w:rsidRPr="00966DEC">
        <w:rPr>
          <w:color w:val="000000"/>
          <w:sz w:val="28"/>
          <w:szCs w:val="28"/>
        </w:rPr>
        <w:t>электросбережения</w:t>
      </w:r>
      <w:proofErr w:type="spellEnd"/>
      <w:r w:rsidRPr="00966DEC">
        <w:rPr>
          <w:color w:val="000000"/>
          <w:sz w:val="28"/>
          <w:szCs w:val="28"/>
        </w:rPr>
        <w:t xml:space="preserve"> из-за технико-технологических и организационный несоответствий является реальной базой для успешного дальнейшего развития электрификации страны.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Однако масштабная реализация этого потенциала невозможна без организационно-правовых мер со стороны государства и содержательной и последовательной ценовой политики.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Огромную роль играет также покупательная способность населения, которая после заметного упадка в прошлом, начинает расти, пусть и не так стремительно.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Таким образом, современная электрификация России характеризуется, с одной стороны, большим потенциалом возможного энергосбережения, а с другой – показателем стагнации производства электроэнергии при его росте в развитых странах мира. Неупорядоченность уровней тарифов по отношению к уровням доходов граждан сдерживает рост потребления электроэнергии, а соответственно и ее выработки. </w:t>
      </w:r>
      <w:proofErr w:type="gramStart"/>
      <w:r w:rsidRPr="00966DEC">
        <w:rPr>
          <w:color w:val="000000"/>
          <w:sz w:val="28"/>
          <w:szCs w:val="28"/>
        </w:rPr>
        <w:t>Также, как</w:t>
      </w:r>
      <w:proofErr w:type="gramEnd"/>
      <w:r w:rsidRPr="00966DEC">
        <w:rPr>
          <w:color w:val="000000"/>
          <w:sz w:val="28"/>
          <w:szCs w:val="28"/>
        </w:rPr>
        <w:t xml:space="preserve"> отмечается</w:t>
      </w:r>
      <w:r w:rsidRPr="00966DEC">
        <w:rPr>
          <w:rStyle w:val="a6"/>
          <w:color w:val="000000"/>
          <w:sz w:val="28"/>
          <w:szCs w:val="28"/>
        </w:rPr>
        <w:footnoteReference w:id="5"/>
      </w:r>
      <w:r w:rsidRPr="00966DEC">
        <w:rPr>
          <w:color w:val="000000"/>
          <w:sz w:val="28"/>
          <w:szCs w:val="28"/>
        </w:rPr>
        <w:t>, существенно мешает отсутствие федеральной программы развития электрификации (такой программы, какой в свое время был план ГОЭЛРО).</w:t>
      </w:r>
    </w:p>
    <w:p w:rsidR="002A7F5D" w:rsidRPr="00966DEC" w:rsidRDefault="002A7F5D" w:rsidP="002A7F5D">
      <w:pPr>
        <w:pStyle w:val="a3"/>
        <w:rPr>
          <w:b/>
          <w:color w:val="000000"/>
          <w:sz w:val="28"/>
          <w:szCs w:val="28"/>
        </w:rPr>
      </w:pPr>
      <w:r w:rsidRPr="00966DEC">
        <w:rPr>
          <w:b/>
          <w:color w:val="000000"/>
          <w:sz w:val="28"/>
          <w:szCs w:val="28"/>
        </w:rPr>
        <w:t>2.2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Одним из надежных показателей технического прогресса является потребление электроэнергии – самого универсального вида энергии. Но сейчас, на данный момент, </w:t>
      </w:r>
      <w:proofErr w:type="gramStart"/>
      <w:r w:rsidRPr="00966DEC">
        <w:rPr>
          <w:color w:val="000000"/>
          <w:sz w:val="28"/>
          <w:szCs w:val="28"/>
        </w:rPr>
        <w:t>производство электроэнергии не достигла</w:t>
      </w:r>
      <w:proofErr w:type="gramEnd"/>
      <w:r w:rsidRPr="00966DEC">
        <w:rPr>
          <w:color w:val="000000"/>
          <w:sz w:val="28"/>
          <w:szCs w:val="28"/>
        </w:rPr>
        <w:t xml:space="preserve"> достаточного уровня, чтобы быть конкурентоспособной. Прогнозные оценки должны учитывать то, что какое-то время еще Россия будет только наращивать свою мощность. Прогноз ИНП РАН</w:t>
      </w:r>
      <w:r w:rsidRPr="00966DEC">
        <w:rPr>
          <w:rStyle w:val="a6"/>
          <w:color w:val="000000"/>
          <w:sz w:val="28"/>
          <w:szCs w:val="28"/>
        </w:rPr>
        <w:footnoteReference w:id="6"/>
      </w:r>
      <w:r w:rsidRPr="00966DEC">
        <w:rPr>
          <w:color w:val="000000"/>
          <w:sz w:val="28"/>
          <w:szCs w:val="28"/>
        </w:rPr>
        <w:t xml:space="preserve">, на который я буду опираться, описывая перспективы дальнейшего развития электроэнергетики </w:t>
      </w:r>
      <w:r w:rsidRPr="00966DEC">
        <w:rPr>
          <w:color w:val="000000"/>
          <w:sz w:val="28"/>
          <w:szCs w:val="28"/>
        </w:rPr>
        <w:lastRenderedPageBreak/>
        <w:t>и электрификации, говорит о двух совершенно различных сценариях дальнейшего развития событий: консервативный инерционный (сценарий №1) и инвестиционно-инновационный (сценарий №2).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Сценарий №1 предполагает политику, которая ведет к снижению темпов экономического развития до конца прогнозируемого периода. Для структуры ВВП характерны медленные изменения, особенно в энергоемких отраслях промышленности.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Второй же путь, более новаторский, характеризуется активной инвестиционной политикой, направленной на перестройку производственной структуры экономики при широком внедрении инновационных технологий. Иными словами, инвесторы платят за то, чтобы испытывались какие-то новаторские технологии, которые </w:t>
      </w:r>
      <w:proofErr w:type="gramStart"/>
      <w:r w:rsidRPr="00966DEC">
        <w:rPr>
          <w:color w:val="000000"/>
          <w:sz w:val="28"/>
          <w:szCs w:val="28"/>
        </w:rPr>
        <w:t>могут</w:t>
      </w:r>
      <w:proofErr w:type="gramEnd"/>
      <w:r w:rsidRPr="00966DEC">
        <w:rPr>
          <w:color w:val="000000"/>
          <w:sz w:val="28"/>
          <w:szCs w:val="28"/>
        </w:rPr>
        <w:t xml:space="preserve"> как успешно пройти испытания, так и окончательно провалиться. Следствием такой политики будет интенсивная перестройка структуры национальной экономики: существенно сократится доля энергоемких отраслей и увеличится доля </w:t>
      </w:r>
      <w:proofErr w:type="spellStart"/>
      <w:r w:rsidRPr="00966DEC">
        <w:rPr>
          <w:color w:val="000000"/>
          <w:sz w:val="28"/>
          <w:szCs w:val="28"/>
        </w:rPr>
        <w:t>малоэнергоемких</w:t>
      </w:r>
      <w:proofErr w:type="spellEnd"/>
      <w:r w:rsidRPr="00966DEC">
        <w:rPr>
          <w:color w:val="000000"/>
          <w:sz w:val="28"/>
          <w:szCs w:val="28"/>
        </w:rPr>
        <w:t xml:space="preserve"> производств и сектора услуг. 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В обоих сценариях, конечно же, приняты одинаковые темпы изменения численности населения страны в перспективе. 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При низких цифрах экономического развития (сценарий 1) перестройка страны будет идти медленно, энергосбережение же также будет </w:t>
      </w:r>
      <w:proofErr w:type="gramStart"/>
      <w:r w:rsidRPr="00966DEC">
        <w:rPr>
          <w:color w:val="000000"/>
          <w:sz w:val="28"/>
          <w:szCs w:val="28"/>
        </w:rPr>
        <w:t>довольно мало</w:t>
      </w:r>
      <w:proofErr w:type="gramEnd"/>
      <w:r w:rsidRPr="00966DEC">
        <w:rPr>
          <w:color w:val="000000"/>
          <w:sz w:val="28"/>
          <w:szCs w:val="28"/>
        </w:rPr>
        <w:t xml:space="preserve">. Долговременные высокие темпы роста экономики возможны только при интенсивном изменении структуры производства товаров в пользу </w:t>
      </w:r>
      <w:proofErr w:type="spellStart"/>
      <w:r w:rsidRPr="00966DEC">
        <w:rPr>
          <w:color w:val="000000"/>
          <w:sz w:val="28"/>
          <w:szCs w:val="28"/>
        </w:rPr>
        <w:t>малоэнергоемких</w:t>
      </w:r>
      <w:proofErr w:type="spellEnd"/>
      <w:r w:rsidRPr="00966DEC">
        <w:rPr>
          <w:color w:val="000000"/>
          <w:sz w:val="28"/>
          <w:szCs w:val="28"/>
        </w:rPr>
        <w:t xml:space="preserve"> отраслей и активной энергосберегающей политике. В первом приближении темпы сокращения энергоемкости ВВП можно считать предельными по росту эффективности использования энергии.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Характерной особенностью развития России в период до 2030 года будет более медленная динамика внутреннего спроса на первичные энергетические ресурсы (такие, как, например, полезные ископаемые вроде нефти или угля) по сравнению с темпами развития электроэнергетического производства.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Ожидается, что к 2030 году внутреннее потребление энергоресурсов возрастет всего в два раза</w:t>
      </w:r>
      <w:r w:rsidRPr="00966DEC">
        <w:rPr>
          <w:rStyle w:val="a6"/>
          <w:color w:val="000000"/>
          <w:sz w:val="28"/>
          <w:szCs w:val="28"/>
        </w:rPr>
        <w:footnoteReference w:id="7"/>
      </w:r>
      <w:r w:rsidRPr="00966DEC">
        <w:rPr>
          <w:color w:val="000000"/>
          <w:sz w:val="28"/>
          <w:szCs w:val="28"/>
        </w:rPr>
        <w:t>.  При этом конечное потребление энергии будет возрастать тем же темпом. К концу этого периода по первому сценарию будет популярно привлечение нетрадиционных видов выработки электроэнергии. Существенные изменения следует ожидать в уровне потребления электроэнергии. Ожидается, что к 2030 году он возрастет примерно на 8%</w:t>
      </w:r>
      <w:r w:rsidRPr="00966DEC">
        <w:rPr>
          <w:rStyle w:val="a6"/>
          <w:color w:val="000000"/>
          <w:sz w:val="28"/>
          <w:szCs w:val="28"/>
        </w:rPr>
        <w:footnoteReference w:id="8"/>
      </w:r>
      <w:r w:rsidRPr="00966DEC">
        <w:rPr>
          <w:color w:val="000000"/>
          <w:sz w:val="28"/>
          <w:szCs w:val="28"/>
        </w:rPr>
        <w:t>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lastRenderedPageBreak/>
        <w:t>Можно ожидать, что за счет развития технологий возрастет спрос на электроэнергию в промышленности и в транспорте. Росту благосостояния населения будет способствовать развитие электрификации домохозяйств и повышение спроса на коммунально-бытовые услуги за счет увеличения численности населения.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 xml:space="preserve">Однако отмечается, что структура производства электричества не претерпит значительных изменений. Тепловые электростанции сохранят во многом свою значимость и будут по-прежнему производить </w:t>
      </w:r>
      <w:proofErr w:type="spellStart"/>
      <w:r w:rsidRPr="00966DEC">
        <w:rPr>
          <w:color w:val="000000"/>
          <w:sz w:val="28"/>
          <w:szCs w:val="28"/>
        </w:rPr>
        <w:t>бОльшую</w:t>
      </w:r>
      <w:proofErr w:type="spellEnd"/>
      <w:r w:rsidRPr="00966DEC">
        <w:rPr>
          <w:color w:val="000000"/>
          <w:sz w:val="28"/>
          <w:szCs w:val="28"/>
        </w:rPr>
        <w:t xml:space="preserve"> часть электроэнергии. Мощности ГЭС только увеличатся. Для АЭС введут ограничение по мощностям, и постоянно растущее население нашей планеты будет искать все новые и новые способы получения электроэнергии, что позволит развивать существующие ныне альтернативные способы электроэнергии и исследовать новые. 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  <w:r w:rsidRPr="00966DEC">
        <w:rPr>
          <w:color w:val="000000"/>
          <w:sz w:val="28"/>
          <w:szCs w:val="28"/>
        </w:rPr>
        <w:t>Конечно же, следует отметить, что возрастет и потребление электроэнергии, что поспособствует введению жестких ограничений на выбросы углекислого газа в атмосферу. Что приведет к возможному снижению скорости глобального потепления, а также на увеличения спроса на инвестиции извне.</w:t>
      </w: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</w:p>
    <w:p w:rsidR="002A7F5D" w:rsidRPr="00966DEC" w:rsidRDefault="002A7F5D" w:rsidP="002A7F5D">
      <w:pPr>
        <w:pStyle w:val="a3"/>
        <w:rPr>
          <w:color w:val="000000"/>
          <w:sz w:val="28"/>
          <w:szCs w:val="28"/>
        </w:rPr>
      </w:pPr>
    </w:p>
    <w:p w:rsidR="002A7F5D" w:rsidRDefault="002A7F5D" w:rsidP="002A7F5D">
      <w:pPr>
        <w:pStyle w:val="a3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2A7F5D" w:rsidRDefault="002A7F5D" w:rsidP="002A7F5D">
      <w:pPr>
        <w:pStyle w:val="a3"/>
        <w:jc w:val="center"/>
        <w:rPr>
          <w:b/>
          <w:color w:val="000000"/>
          <w:sz w:val="28"/>
          <w:szCs w:val="28"/>
        </w:rPr>
      </w:pPr>
    </w:p>
    <w:p w:rsidR="00DB2256" w:rsidRDefault="00DB2256">
      <w:bookmarkStart w:id="0" w:name="_GoBack"/>
      <w:bookmarkEnd w:id="0"/>
    </w:p>
    <w:sectPr w:rsidR="00DB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4" w:rsidRDefault="00A70414" w:rsidP="002A7F5D">
      <w:pPr>
        <w:spacing w:after="0" w:line="240" w:lineRule="auto"/>
      </w:pPr>
      <w:r>
        <w:separator/>
      </w:r>
    </w:p>
  </w:endnote>
  <w:endnote w:type="continuationSeparator" w:id="0">
    <w:p w:rsidR="00A70414" w:rsidRDefault="00A70414" w:rsidP="002A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4" w:rsidRDefault="00A70414" w:rsidP="002A7F5D">
      <w:pPr>
        <w:spacing w:after="0" w:line="240" w:lineRule="auto"/>
      </w:pPr>
      <w:r>
        <w:separator/>
      </w:r>
    </w:p>
  </w:footnote>
  <w:footnote w:type="continuationSeparator" w:id="0">
    <w:p w:rsidR="00A70414" w:rsidRDefault="00A70414" w:rsidP="002A7F5D">
      <w:pPr>
        <w:spacing w:after="0" w:line="240" w:lineRule="auto"/>
      </w:pPr>
      <w:r>
        <w:continuationSeparator/>
      </w:r>
    </w:p>
  </w:footnote>
  <w:footnote w:id="1">
    <w:p w:rsidR="002A7F5D" w:rsidRPr="009E6F4C" w:rsidRDefault="002A7F5D" w:rsidP="002A7F5D">
      <w:pPr>
        <w:pStyle w:val="a4"/>
        <w:rPr>
          <w:rFonts w:ascii="Times New Roman" w:hAnsi="Times New Roman" w:cs="Times New Roman"/>
        </w:rPr>
      </w:pPr>
      <w:r w:rsidRPr="009E6F4C">
        <w:rPr>
          <w:rStyle w:val="a6"/>
          <w:rFonts w:ascii="Times New Roman" w:hAnsi="Times New Roman" w:cs="Times New Roman"/>
        </w:rPr>
        <w:footnoteRef/>
      </w:r>
      <w:r w:rsidRPr="009E6F4C">
        <w:rPr>
          <w:rFonts w:ascii="Times New Roman" w:hAnsi="Times New Roman" w:cs="Times New Roman"/>
        </w:rPr>
        <w:t xml:space="preserve"> (5)</w:t>
      </w:r>
    </w:p>
  </w:footnote>
  <w:footnote w:id="2">
    <w:p w:rsidR="002A7F5D" w:rsidRPr="009E6F4C" w:rsidRDefault="002A7F5D" w:rsidP="002A7F5D">
      <w:pPr>
        <w:pStyle w:val="a4"/>
        <w:rPr>
          <w:rFonts w:ascii="Times New Roman" w:hAnsi="Times New Roman" w:cs="Times New Roman"/>
        </w:rPr>
      </w:pPr>
      <w:r w:rsidRPr="009E6F4C">
        <w:rPr>
          <w:rStyle w:val="a6"/>
          <w:rFonts w:ascii="Times New Roman" w:hAnsi="Times New Roman" w:cs="Times New Roman"/>
        </w:rPr>
        <w:footnoteRef/>
      </w:r>
      <w:r w:rsidRPr="009E6F4C">
        <w:rPr>
          <w:rFonts w:ascii="Times New Roman" w:hAnsi="Times New Roman" w:cs="Times New Roman"/>
        </w:rPr>
        <w:t xml:space="preserve"> </w:t>
      </w:r>
      <w:r w:rsidRPr="009E6F4C">
        <w:rPr>
          <w:rFonts w:ascii="Times New Roman" w:hAnsi="Times New Roman" w:cs="Times New Roman"/>
          <w:lang w:val="en-GB"/>
        </w:rPr>
        <w:t>G</w:t>
      </w:r>
      <w:r w:rsidRPr="009E6F4C">
        <w:rPr>
          <w:rFonts w:ascii="Times New Roman" w:hAnsi="Times New Roman" w:cs="Times New Roman"/>
        </w:rPr>
        <w:t>7 (в Российской публицистике “</w:t>
      </w:r>
      <w:r w:rsidRPr="009E6F4C">
        <w:rPr>
          <w:rFonts w:ascii="Times New Roman" w:hAnsi="Times New Roman" w:cs="Times New Roman"/>
          <w:lang w:val="en-GB"/>
        </w:rPr>
        <w:t>Great</w:t>
      </w:r>
      <w:r w:rsidRPr="009E6F4C">
        <w:rPr>
          <w:rFonts w:ascii="Times New Roman" w:hAnsi="Times New Roman" w:cs="Times New Roman"/>
        </w:rPr>
        <w:t xml:space="preserve"> </w:t>
      </w:r>
      <w:r w:rsidRPr="009E6F4C">
        <w:rPr>
          <w:rFonts w:ascii="Times New Roman" w:hAnsi="Times New Roman" w:cs="Times New Roman"/>
          <w:lang w:val="en-GB"/>
        </w:rPr>
        <w:t>Seven</w:t>
      </w:r>
      <w:proofErr w:type="gramStart"/>
      <w:r w:rsidRPr="009E6F4C">
        <w:rPr>
          <w:rFonts w:ascii="Times New Roman" w:hAnsi="Times New Roman" w:cs="Times New Roman"/>
        </w:rPr>
        <w:t>”(</w:t>
      </w:r>
      <w:proofErr w:type="gramEnd"/>
      <w:r w:rsidRPr="009E6F4C">
        <w:rPr>
          <w:rFonts w:ascii="Times New Roman" w:hAnsi="Times New Roman" w:cs="Times New Roman"/>
        </w:rPr>
        <w:t xml:space="preserve">англ. </w:t>
      </w:r>
      <w:proofErr w:type="gramStart"/>
      <w:r w:rsidRPr="009E6F4C">
        <w:rPr>
          <w:rFonts w:ascii="Times New Roman" w:hAnsi="Times New Roman" w:cs="Times New Roman"/>
        </w:rPr>
        <w:t>«Большая Семерка»)) – международный клуб, объединяющий Великобританию, Германию, Италию, Канаду, Францию, Японию и США.</w:t>
      </w:r>
      <w:proofErr w:type="gramEnd"/>
    </w:p>
  </w:footnote>
  <w:footnote w:id="3">
    <w:p w:rsidR="002A7F5D" w:rsidRPr="009E6F4C" w:rsidRDefault="002A7F5D" w:rsidP="002A7F5D">
      <w:pPr>
        <w:pStyle w:val="a4"/>
        <w:rPr>
          <w:rFonts w:ascii="Times New Roman" w:hAnsi="Times New Roman" w:cs="Times New Roman"/>
        </w:rPr>
      </w:pPr>
      <w:r w:rsidRPr="009E6F4C">
        <w:rPr>
          <w:rStyle w:val="a6"/>
          <w:rFonts w:ascii="Times New Roman" w:hAnsi="Times New Roman" w:cs="Times New Roman"/>
        </w:rPr>
        <w:footnoteRef/>
      </w:r>
      <w:r w:rsidRPr="009E6F4C">
        <w:rPr>
          <w:rFonts w:ascii="Times New Roman" w:hAnsi="Times New Roman" w:cs="Times New Roman"/>
        </w:rPr>
        <w:t xml:space="preserve"> Электроемкость – мера способности проводника накапливать и задерживать электрический заряд.</w:t>
      </w:r>
    </w:p>
  </w:footnote>
  <w:footnote w:id="4">
    <w:p w:rsidR="002A7F5D" w:rsidRDefault="002A7F5D" w:rsidP="002A7F5D">
      <w:pPr>
        <w:pStyle w:val="a4"/>
      </w:pPr>
      <w:r w:rsidRPr="009E6F4C">
        <w:rPr>
          <w:rStyle w:val="a6"/>
          <w:rFonts w:ascii="Times New Roman" w:hAnsi="Times New Roman" w:cs="Times New Roman"/>
        </w:rPr>
        <w:footnoteRef/>
      </w:r>
      <w:r w:rsidRPr="009E6F4C">
        <w:rPr>
          <w:rFonts w:ascii="Times New Roman" w:hAnsi="Times New Roman" w:cs="Times New Roman"/>
        </w:rPr>
        <w:t xml:space="preserve"> Валовой внутренний продукт – показатель в глобальной экономике, отражающий рыночную стоимость всех конечных товаров и услуг, произведенных за год во всех отраслях экономики на территории государства для потребления, экспорта и накопления, вне зависимости от национальной принадлежности использованных факторов производства.</w:t>
      </w:r>
    </w:p>
  </w:footnote>
  <w:footnote w:id="5">
    <w:p w:rsidR="002A7F5D" w:rsidRPr="00EA36FA" w:rsidRDefault="002A7F5D" w:rsidP="002A7F5D">
      <w:pPr>
        <w:pStyle w:val="a4"/>
        <w:rPr>
          <w:rFonts w:ascii="Times New Roman" w:hAnsi="Times New Roman" w:cs="Times New Roman"/>
        </w:rPr>
      </w:pPr>
      <w:r w:rsidRPr="00EA36FA">
        <w:rPr>
          <w:rStyle w:val="a6"/>
          <w:rFonts w:ascii="Times New Roman" w:hAnsi="Times New Roman" w:cs="Times New Roman"/>
        </w:rPr>
        <w:footnoteRef/>
      </w:r>
      <w:r w:rsidRPr="00EA36FA">
        <w:rPr>
          <w:rFonts w:ascii="Times New Roman" w:hAnsi="Times New Roman" w:cs="Times New Roman"/>
        </w:rPr>
        <w:t xml:space="preserve"> (5)</w:t>
      </w:r>
    </w:p>
  </w:footnote>
  <w:footnote w:id="6">
    <w:p w:rsidR="002A7F5D" w:rsidRDefault="002A7F5D" w:rsidP="002A7F5D">
      <w:pPr>
        <w:pStyle w:val="a4"/>
      </w:pPr>
      <w:r w:rsidRPr="00EA36FA">
        <w:rPr>
          <w:rStyle w:val="a6"/>
          <w:rFonts w:ascii="Times New Roman" w:hAnsi="Times New Roman" w:cs="Times New Roman"/>
        </w:rPr>
        <w:footnoteRef/>
      </w:r>
      <w:r w:rsidRPr="00EA36FA">
        <w:rPr>
          <w:rFonts w:ascii="Times New Roman" w:hAnsi="Times New Roman" w:cs="Times New Roman"/>
        </w:rPr>
        <w:t xml:space="preserve"> (6)</w:t>
      </w:r>
    </w:p>
  </w:footnote>
  <w:footnote w:id="7">
    <w:p w:rsidR="002A7F5D" w:rsidRPr="00EA36FA" w:rsidRDefault="002A7F5D" w:rsidP="002A7F5D">
      <w:pPr>
        <w:pStyle w:val="a4"/>
        <w:rPr>
          <w:rFonts w:ascii="Times New Roman" w:hAnsi="Times New Roman" w:cs="Times New Roman"/>
        </w:rPr>
      </w:pPr>
      <w:r w:rsidRPr="00EA36FA">
        <w:rPr>
          <w:rStyle w:val="a6"/>
          <w:rFonts w:ascii="Times New Roman" w:hAnsi="Times New Roman" w:cs="Times New Roman"/>
        </w:rPr>
        <w:footnoteRef/>
      </w:r>
      <w:r w:rsidRPr="00EA36FA">
        <w:rPr>
          <w:rFonts w:ascii="Times New Roman" w:hAnsi="Times New Roman" w:cs="Times New Roman"/>
        </w:rPr>
        <w:t xml:space="preserve"> (6)</w:t>
      </w:r>
    </w:p>
  </w:footnote>
  <w:footnote w:id="8">
    <w:p w:rsidR="002A7F5D" w:rsidRPr="00EA36FA" w:rsidRDefault="002A7F5D" w:rsidP="002A7F5D">
      <w:pPr>
        <w:pStyle w:val="a4"/>
        <w:rPr>
          <w:rFonts w:ascii="Times New Roman" w:hAnsi="Times New Roman" w:cs="Times New Roman"/>
        </w:rPr>
      </w:pPr>
      <w:r w:rsidRPr="00EA36FA">
        <w:rPr>
          <w:rStyle w:val="a6"/>
          <w:rFonts w:ascii="Times New Roman" w:hAnsi="Times New Roman" w:cs="Times New Roman"/>
        </w:rPr>
        <w:footnoteRef/>
      </w:r>
      <w:r w:rsidRPr="00EA36FA">
        <w:rPr>
          <w:rFonts w:ascii="Times New Roman" w:hAnsi="Times New Roman" w:cs="Times New Roman"/>
        </w:rPr>
        <w:t xml:space="preserve"> (6)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7EC"/>
    <w:multiLevelType w:val="hybridMultilevel"/>
    <w:tmpl w:val="EAB836DE"/>
    <w:lvl w:ilvl="0" w:tplc="3252E3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D"/>
    <w:rsid w:val="002A7F5D"/>
    <w:rsid w:val="00A70414"/>
    <w:rsid w:val="00D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A7F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7F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7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A7F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7F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7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2021-04-20T16:51:00Z</dcterms:created>
  <dcterms:modified xsi:type="dcterms:W3CDTF">2021-04-20T16:51:00Z</dcterms:modified>
</cp:coreProperties>
</file>