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C9D37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Департамент образования города Москвы</w:t>
      </w:r>
    </w:p>
    <w:p w14:paraId="7FA81068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бюджетное общеобразовательное учреждение города</w:t>
      </w:r>
    </w:p>
    <w:p w14:paraId="6D8A6648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Москвы «Школа №1505 «Преображенская»</w:t>
      </w:r>
    </w:p>
    <w:p w14:paraId="7182C5C6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14:paraId="40EA333E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3BCA42B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26F2ECE0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before="460" w:after="300" w:line="331" w:lineRule="auto"/>
        <w:jc w:val="center"/>
        <w:rPr>
          <w:rFonts w:ascii="Times New Roman" w:eastAsia="Times New Roman" w:hAnsi="Times New Roman" w:cs="Times New Roman"/>
          <w:b/>
          <w:color w:val="ED1C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Метициллинрезистентные Staphylococcus aureus и оценка программы профилактики их распространения</w:t>
      </w:r>
      <w:r>
        <w:rPr>
          <w:rFonts w:ascii="Times New Roman" w:eastAsia="Times New Roman" w:hAnsi="Times New Roman" w:cs="Times New Roman"/>
          <w:b/>
          <w:color w:val="ED1C24"/>
          <w:sz w:val="32"/>
          <w:szCs w:val="32"/>
        </w:rPr>
        <w:t> </w:t>
      </w:r>
    </w:p>
    <w:p w14:paraId="50760C8A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31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дипломная работа</w:t>
      </w:r>
    </w:p>
    <w:p w14:paraId="5BCBE8B1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  <w:t xml:space="preserve"> </w:t>
      </w:r>
    </w:p>
    <w:p w14:paraId="38AAB0FB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31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07546F7E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</w:rPr>
        <w:t>10 класса</w:t>
      </w:r>
    </w:p>
    <w:p w14:paraId="4D45F43D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595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14:paraId="0FB79C3C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31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Гюнгюр Филиз</w:t>
      </w:r>
    </w:p>
    <w:p w14:paraId="11F155A2" w14:textId="77777777" w:rsidR="00240C0E" w:rsidRDefault="00240C0E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color w:val="000000"/>
          <w:sz w:val="28"/>
          <w:szCs w:val="28"/>
        </w:rPr>
      </w:pPr>
    </w:p>
    <w:p w14:paraId="726EE54A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31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</w:t>
      </w:r>
    </w:p>
    <w:p w14:paraId="235F45FD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Волохова Разия Юрьевна</w:t>
      </w:r>
    </w:p>
    <w:p w14:paraId="190CC95D" w14:textId="77777777" w:rsidR="00240C0E" w:rsidRDefault="00240C0E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color w:val="000000"/>
          <w:sz w:val="28"/>
          <w:szCs w:val="28"/>
        </w:rPr>
      </w:pPr>
    </w:p>
    <w:p w14:paraId="1A95AF15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</w:t>
      </w:r>
    </w:p>
    <w:p w14:paraId="7B6A783D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31" w:lineRule="auto"/>
        <w:ind w:hanging="59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Ноздрачева Анна Николаевна</w:t>
      </w:r>
    </w:p>
    <w:p w14:paraId="3E93C488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14:paraId="45E75F5C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584230F9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7E5DB784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634D7" w14:textId="77777777" w:rsidR="00240C0E" w:rsidRDefault="005B4FAC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jhv9pixx01c8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14:paraId="42361FE8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2"/>
        <w:gridCol w:w="958"/>
      </w:tblGrid>
      <w:tr w:rsidR="00240C0E" w14:paraId="7D0BF4C3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2CE3D" w14:textId="77777777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ВВЕДЕНИЕ……………………………………………………………………………..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ED487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40C0E" w14:paraId="1F714648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9E61C" w14:textId="1AD293B6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ГЛАВА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Метициллинрезистентные Staphylococcus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aureus………………………..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D9105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40C0E" w14:paraId="7E914BDD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20D59" w14:textId="1B0292D1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 Метициллинрезистентность 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стафилококков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...…………………………………..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6FD53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40C0E" w14:paraId="6374F7A4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86116" w14:textId="79C04A53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 Характеристика стафилококков как возбудителей заболеваний.……………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14FF2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40C0E" w14:paraId="7B61EFC9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D2AD1" w14:textId="77777777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  Адгезия и защитные механизмы стафилококков………………………………..</w:t>
            </w:r>
          </w:p>
          <w:p w14:paraId="40705E68" w14:textId="77777777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 Клинически выраженные проявления инфекции…………………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……………..</w:t>
            </w:r>
          </w:p>
          <w:p w14:paraId="31E28463" w14:textId="77777777" w:rsidR="00240C0E" w:rsidRDefault="005B4FAC">
            <w:pPr>
              <w:spacing w:line="36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 Антимикробные препараты……………………………………………………….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FDA42D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14:paraId="729046DC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  <w:p w14:paraId="23FB5112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40C0E" w14:paraId="42445E19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8E076" w14:textId="5570D0A2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Методология выявления “метициллинрезистентности” стафило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кок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  <w:p w14:paraId="5C08052D" w14:textId="396251EA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Методология выявления “метициллинрезистентности” стафило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кок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ов………</w:t>
            </w:r>
          </w:p>
          <w:p w14:paraId="3ABB885C" w14:textId="77777777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 Программа СКАТ (Стратегия Контроля Антимикробной Терапии) при оказании стационарной медицинской помощи……………………………………….</w:t>
            </w:r>
          </w:p>
          <w:p w14:paraId="476AF24F" w14:textId="4861FF86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ГЛАВА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Исследование…………………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EA613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14:paraId="34961DE4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14:paraId="7E057862" w14:textId="77777777" w:rsidR="00240C0E" w:rsidRDefault="00240C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E84F86" w14:textId="77777777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  <w:p w14:paraId="153F8E57" w14:textId="7A1EB9C9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D1A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0C0E" w14:paraId="5D8C50D1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AAB4A" w14:textId="77777777" w:rsidR="00240C0E" w:rsidRDefault="005B4FAC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 Материалы и методы………………………………………………………………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A174B" w14:textId="78727C00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D1A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0C0E" w14:paraId="3AD38C14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54115" w14:textId="084A9779" w:rsidR="00240C0E" w:rsidRDefault="005B4FAC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 Результаты и обсуждение……………………………………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EB6B1" w14:textId="4E235438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13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0C0E" w14:paraId="43F91805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1A4B2" w14:textId="0A9DB43D" w:rsidR="00240C0E" w:rsidRDefault="005B4FAC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 Выводы…………………………………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81ACE" w14:textId="6F38D6CF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13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40C0E" w14:paraId="66BF367D" w14:textId="77777777">
        <w:trPr>
          <w:trHeight w:val="420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B40B9" w14:textId="77777777" w:rsidR="00240C0E" w:rsidRDefault="005B4FAC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ЗАКЛЮЧЕНИЕ…………………………………………………………………………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EC8EF" w14:textId="77285025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13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40C0E" w14:paraId="008A0F92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A460E" w14:textId="2A2AD90C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ЛИТЕРАТУРЫ………………………</w:t>
            </w:r>
            <w:r w:rsidR="00F1401E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</w:t>
            </w:r>
          </w:p>
          <w:p w14:paraId="497E6F76" w14:textId="77777777" w:rsidR="00240C0E" w:rsidRDefault="005B4FA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1……………………………………………………………………….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6DCAF" w14:textId="306C3B05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13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14:paraId="5ACCDEBE" w14:textId="657B4505" w:rsidR="00240C0E" w:rsidRDefault="005B4FA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13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14:paraId="4B8400C5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E7045" w14:textId="77777777" w:rsidR="00240C0E" w:rsidRDefault="00240C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C5B8D3" w14:textId="77777777" w:rsidR="00240C0E" w:rsidRDefault="00240C0E">
      <w:pPr>
        <w:rPr>
          <w:sz w:val="24"/>
          <w:szCs w:val="24"/>
        </w:rPr>
      </w:pPr>
    </w:p>
    <w:p w14:paraId="30501B25" w14:textId="77777777" w:rsidR="00240C0E" w:rsidRDefault="00240C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2E1F87" w14:textId="77777777" w:rsidR="00240C0E" w:rsidRDefault="005B4FA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07C43A6" w14:textId="77777777" w:rsidR="00240C0E" w:rsidRDefault="005B4FAC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nvvg3zpmycr8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</w:t>
      </w:r>
    </w:p>
    <w:p w14:paraId="1A3C2DB2" w14:textId="77777777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 темы. </w:t>
      </w:r>
    </w:p>
    <w:p w14:paraId="11B1B8D8" w14:textId="7F90E245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настоящее время число полирезистентных штаммов возбудителей гнойных и гнойно-септических заболеваний неуклонно увеличивается, тем самым ограничивая спектр возможных для их лечения антимикробных препаратов. Создается дефицит медицинских препаратов. Это ещ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больше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усугубляет проблему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устойчивости микробов к воздействию антибиотиков. </w:t>
      </w:r>
    </w:p>
    <w:p w14:paraId="6A0CEC44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Проблема.</w:t>
      </w:r>
    </w:p>
    <w:p w14:paraId="0CD0D695" w14:textId="6145F3E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числа полирезистентных штаммов возбудителей гнойных и гнойно-септических заболеваний в итоге влияет на эффективность антибиотикотерапии, существенно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граничивая их выбор антимикробных препаратов, пригодных для лечебных целей. </w:t>
      </w:r>
    </w:p>
    <w:p w14:paraId="42C4B87E" w14:textId="59EBD88F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Несмотря на то,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профилактикой инфекций MRSA** в больничных условиях </w:t>
      </w:r>
      <w:r>
        <w:rPr>
          <w:rFonts w:ascii="Times New Roman" w:eastAsia="Times New Roman" w:hAnsi="Times New Roman" w:cs="Times New Roman"/>
          <w:sz w:val="24"/>
          <w:szCs w:val="24"/>
        </w:rPr>
        <w:t>занима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тся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“Стратегии Контроля Антимикробной Терапии” с 2017 года, возможности такой профилактики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объективно ограничены наличием комменсальной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="00F1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флоры пациента в больницах. Проблемой использования программы СКАТ являются отсутствие скрининга на носительство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пациентами полирезистентных бактерий, невозможность изоляции таких пациентов и ограничения конт</w:t>
      </w:r>
      <w:r>
        <w:rPr>
          <w:rFonts w:ascii="Times New Roman" w:eastAsia="Times New Roman" w:hAnsi="Times New Roman" w:cs="Times New Roman"/>
          <w:sz w:val="24"/>
          <w:szCs w:val="24"/>
        </w:rPr>
        <w:t>актной передачи инфекции, не всегда адекватная микробиологическая диагностика, слабая подготовка врачей в области антимикробной терапии, недостаток врачей-клинических фармакологов и т.д. В своей работе я хочу продемонстрировать эффективность программы СКАТ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несмотря на определенные трудности, связанные с ее использованием и возможные неточности.  </w:t>
      </w:r>
    </w:p>
    <w:p w14:paraId="0FE6939E" w14:textId="77777777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изложенного была сформулирована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сравнить количество метициллинрезистентных Staphylococcus aureus в отделении гнойной хирургии сейчас и до введения программы профилактики их распространения.</w:t>
      </w:r>
    </w:p>
    <w:p w14:paraId="1BB9BFB6" w14:textId="77777777" w:rsidR="00240C0E" w:rsidRDefault="005B4FA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Для достижения цели были поставлены следующие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FFC5C25" w14:textId="77777777" w:rsidR="00240C0E" w:rsidRDefault="005B4F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Изучить литературу, связанную с MRSA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sz w:val="24"/>
          <w:szCs w:val="24"/>
        </w:rPr>
        <w:t>ак возбудителями заболеваний, механизмами их действия, особенностями и локализацией</w:t>
      </w:r>
    </w:p>
    <w:p w14:paraId="4F67C5AA" w14:textId="77777777" w:rsidR="00240C0E" w:rsidRDefault="005B4F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Изучить механизмы </w:t>
      </w:r>
      <w:r>
        <w:rPr>
          <w:rFonts w:ascii="Times New Roman" w:eastAsia="Times New Roman" w:hAnsi="Times New Roman" w:cs="Times New Roman"/>
          <w:sz w:val="24"/>
          <w:szCs w:val="24"/>
        </w:rPr>
        <w:t>работы программы “Стратегии Контроля Антимикробной Терапии”, данные больничных алгоритмов на инфекции MRSA.</w:t>
      </w:r>
    </w:p>
    <w:p w14:paraId="5B16FCDF" w14:textId="77777777" w:rsidR="00240C0E" w:rsidRDefault="005B4F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Провести сравн</w:t>
      </w:r>
      <w:r>
        <w:rPr>
          <w:rFonts w:ascii="Times New Roman" w:eastAsia="Times New Roman" w:hAnsi="Times New Roman" w:cs="Times New Roman"/>
          <w:sz w:val="24"/>
          <w:szCs w:val="24"/>
        </w:rPr>
        <w:t>ение эффективности программы, сопоставив текущие данные по больнице и данные до введения программы.</w:t>
      </w:r>
    </w:p>
    <w:p w14:paraId="1BEFE95B" w14:textId="77777777" w:rsidR="00240C0E" w:rsidRDefault="005B4F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Представить результаты исследования с учетом погрешности, подвести итоги</w:t>
      </w:r>
    </w:p>
    <w:p w14:paraId="5DD80293" w14:textId="77777777" w:rsidR="00240C0E" w:rsidRDefault="005B4F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Опираясь на полученные сведения, сделать вывод о продуктивности программы “Стратеги</w:t>
      </w:r>
      <w:r>
        <w:rPr>
          <w:rFonts w:ascii="Times New Roman" w:eastAsia="Times New Roman" w:hAnsi="Times New Roman" w:cs="Times New Roman"/>
          <w:sz w:val="24"/>
          <w:szCs w:val="24"/>
        </w:rPr>
        <w:t>и Контроля Антимикробной Терапии” в пределах моего исследования</w:t>
      </w:r>
    </w:p>
    <w:p w14:paraId="42E7BC49" w14:textId="77777777" w:rsidR="00240C0E" w:rsidRDefault="00240C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F1229" w14:textId="77777777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гипотеза: Количество метициллинрезистентных Staphylococcus aureus в отделении гнойной хирургии сейчас значительно меньше, чем до введения программы профилактики их распространения.</w:t>
      </w:r>
    </w:p>
    <w:p w14:paraId="5BD8A056" w14:textId="77777777" w:rsidR="00240C0E" w:rsidRDefault="00240C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08BDD3C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0B3000B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157724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888956A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AD8EE95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F459355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320F7B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A888EDE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3DDA26F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8AD303F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20DC5E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2B2E92D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4A833D2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3D8DC47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187533B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90C431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FC369C2" w14:textId="47DFCE53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FFB20F6" w14:textId="102C8344" w:rsidR="00F1401E" w:rsidRDefault="00F140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B491F6" w14:textId="28503E12" w:rsidR="00F1401E" w:rsidRDefault="00F140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69F8C1" w14:textId="77777777" w:rsidR="00F1401E" w:rsidRDefault="00F140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6BD2F23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2C62EA1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7F792F6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FCD8AE3" w14:textId="72FC216D" w:rsidR="00240C0E" w:rsidRDefault="005B4FAC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_qgmlbksldnsa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ГЛАВА 1. Метициллинрезистентность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стафилококков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55F4AE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989A0B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4" w:name="_qvqmrh2ht68r" w:colFirst="0" w:colLast="0"/>
      <w:bookmarkEnd w:id="4"/>
      <w:r>
        <w:rPr>
          <w:sz w:val="24"/>
          <w:szCs w:val="24"/>
        </w:rPr>
        <w:t>1.1. Проблема метициллинрезистентности стафилококков</w:t>
      </w:r>
    </w:p>
    <w:p w14:paraId="685A61E0" w14:textId="77777777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Проблема метициллинрезистентности стафилококков привлекает внимание ученых различных областей по сей день. Специалисты химики, биотехнологи и фармакологи ищут способ получить и внедрить в клиническую практику новые лекарственные средства, способные “против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остоять” метициллинрезистентности стафилококков. К сожалению, решение до сих пор не найдено. </w:t>
      </w:r>
    </w:p>
    <w:p w14:paraId="6E69ABF5" w14:textId="1591CAB6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Метициллинрезистентность стафилококков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—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один из вариантов множественной устойчивости микроорганизмов определенной родовой принадлежности к антибиотикам разны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групп. В настоящее время устойчивость многих микроорганизмов к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определенному спектру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различных антибиотиков легко объяснить методом Грама (разделением на грамотрицательных и грамположительных бактерий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зависимостью/ отсутствием зависимости от кислород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(аэробностью и анаэробностью)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и патогенностью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(болезнетворные микроорганизмы или патогенные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Но метициллинрезистентность стафилококков имеет ряд важных особенностей. </w:t>
      </w:r>
    </w:p>
    <w:p w14:paraId="66F6D12F" w14:textId="30DC5503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Во-первых, метициллинрезистентность стафилококков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—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множественная устойчивость.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значит, что такие стафилококки устойчивы ко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всем бета-лактамным антибиотикам без исключения: пенициллинам, цефалоспоринам, карбапенемам. Такая устойчивость возможна за счет mec-A гена, который кодирует образование особого пенициллинсвязывающего белка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(СПБ'2) в бактерии. Именно этот белок обеспечивает вышеназванную резистентность. </w:t>
      </w:r>
    </w:p>
    <w:p w14:paraId="25C3E998" w14:textId="06BCEB8C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Во-вторых, такая устойчивость часто сопровождается дополнительной устойчивостью к некоторым не бета-лактамным антибиотикам, таким как макролиды, аминогликозиды и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sz w:val="24"/>
          <w:szCs w:val="24"/>
        </w:rPr>
        <w:t>, но в от</w:t>
      </w:r>
      <w:r>
        <w:rPr>
          <w:rFonts w:ascii="Times New Roman" w:eastAsia="Times New Roman" w:hAnsi="Times New Roman" w:cs="Times New Roman"/>
          <w:sz w:val="24"/>
          <w:szCs w:val="24"/>
        </w:rPr>
        <w:t>личии от первой, она не системна и нестабильна. Устойчивость к бета-лактамным антибиотикам существенно ограничивает спектр препаратов, приемлемых для лечения больных со стафилококковой инфекцией. Эта проблема в настоящее время не решена.</w:t>
      </w:r>
    </w:p>
    <w:p w14:paraId="67E526D0" w14:textId="18A50CE3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в-третьих, стафи</w:t>
      </w:r>
      <w:r>
        <w:rPr>
          <w:rFonts w:ascii="Times New Roman" w:eastAsia="Times New Roman" w:hAnsi="Times New Roman" w:cs="Times New Roman"/>
          <w:sz w:val="24"/>
          <w:szCs w:val="24"/>
        </w:rPr>
        <w:t>лококки - лидеры среди возбудителей бактериальных патологий человека, что усугубляет ситуацию.</w:t>
      </w:r>
    </w:p>
    <w:p w14:paraId="0EEC2EB1" w14:textId="15C8080E" w:rsidR="00F1401E" w:rsidRDefault="00F140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E9CD10" w14:textId="77777777" w:rsidR="00F1401E" w:rsidRDefault="00F140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0ED50C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5" w:name="_ip9wsswpd6t6" w:colFirst="0" w:colLast="0"/>
      <w:bookmarkEnd w:id="5"/>
      <w:r>
        <w:rPr>
          <w:sz w:val="24"/>
          <w:szCs w:val="24"/>
        </w:rPr>
        <w:t xml:space="preserve">1.2. </w:t>
      </w:r>
      <w:r>
        <w:rPr>
          <w:sz w:val="24"/>
          <w:szCs w:val="24"/>
        </w:rPr>
        <w:t>Характеристика стафилококков как возбудителей заболеваний.</w:t>
      </w:r>
    </w:p>
    <w:p w14:paraId="1D10253F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Стафилококки являются одними из самых частых возбудителей заболеваний человека микробной породы. При этом стафилококки имеют две непосредственные ипостаси: с одной стороны эти бактерии комменсалы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>, а с другой они агрессоры, способные вызвать и ограниченну</w:t>
      </w:r>
      <w:r>
        <w:rPr>
          <w:rFonts w:ascii="Times New Roman" w:eastAsia="Times New Roman" w:hAnsi="Times New Roman" w:cs="Times New Roman"/>
          <w:sz w:val="24"/>
          <w:szCs w:val="24"/>
        </w:rPr>
        <w:t>ю, легко протекающую патологию, и тяжелейшие поражения тканей и/или системную инфекцию. Стафилококки-комменсалы являются "обитателями микрофлоры человека (кожи, кишечника, носоглотки)" и возлагают регуляцию своих отношений с внешней средой на организм-хозя</w:t>
      </w:r>
      <w:r>
        <w:rPr>
          <w:rFonts w:ascii="Times New Roman" w:eastAsia="Times New Roman" w:hAnsi="Times New Roman" w:cs="Times New Roman"/>
          <w:sz w:val="24"/>
          <w:szCs w:val="24"/>
        </w:rPr>
        <w:t>ина (человека), при этом не вступая с ним в тесные взаимоотношения. В таком случае "популяция комменсалов извлекает пользу от взаимоотношения, а популяция хозяев не получает ни пользы, ни вреда, то есть метаболические взаимодействия и антагонизм между таки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 партнерами чаще всего отсутствуют " (2). Такая разница между двумя ипостасями тоже является отличительной особенностью стафилококков. </w:t>
      </w:r>
    </w:p>
    <w:p w14:paraId="0F71AD58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составить перечень основных патологий, в возникновении которых стафилококки играют заметную роль, то он включал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поражения практически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всех органов и тканей человека. Количество видов стафилококков в природе колеблется в пределах двух десятков, а различают разные виды стафилококков по их болезнетворности. Условно эти бактерии можно разделить на 2 группы. </w:t>
      </w:r>
    </w:p>
    <w:p w14:paraId="1713B913" w14:textId="1802E430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первой </w:t>
      </w:r>
      <w:r>
        <w:rPr>
          <w:rFonts w:ascii="Times New Roman" w:eastAsia="Times New Roman" w:hAnsi="Times New Roman" w:cs="Times New Roman"/>
          <w:sz w:val="24"/>
          <w:szCs w:val="24"/>
        </w:rPr>
        <w:t>из них будет относиться, например, эпидермальный стафилококк (S. epidermidis). Представители этой группы нередко являются возбудителями заболеваний человека. Но для этого необходимы определенные условия: подавление иммунитета больного, те или иные поврежде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 различных тканей и т.д. Т.е. “это такие микробы, патогенность которых проявляется при определенных благоприятных для них ситуаций”. Другими вида, который также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известны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своей способностью при наличии предрасполагающих обстоятельств быть болезнетворным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S. saprophyticus, S. haemolyticus и S. lugdunensis (возбудители сепсиса, эндокардита и поражений костной ткани и суставов).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7E1DFE5D" wp14:editId="5FB430E4">
            <wp:simplePos x="0" y="0"/>
            <wp:positionH relativeFrom="column">
              <wp:posOffset>1</wp:posOffset>
            </wp:positionH>
            <wp:positionV relativeFrom="paragraph">
              <wp:posOffset>581025</wp:posOffset>
            </wp:positionV>
            <wp:extent cx="2315528" cy="1799842"/>
            <wp:effectExtent l="0" t="0" r="0" b="0"/>
            <wp:wrapSquare wrapText="bothSides" distT="57150" distB="57150" distL="57150" distR="571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528" cy="1799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AFD8E7" w14:textId="77777777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 второй группе относиться стафилококк, особое внимание на котором я и хочу сосредоточить в своей работе — S. aureus или золотистый стафилококк. Золотистый стафилококк является не только самым болезнетворным видом этих бактерий, </w:t>
      </w:r>
    </w:p>
    <w:p w14:paraId="77210F4C" w14:textId="1DDD2EF2" w:rsidR="00240C0E" w:rsidRDefault="005B4F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</w:t>
      </w:r>
      <w:r w:rsidR="00F1401E">
        <w:rPr>
          <w:rFonts w:ascii="Times New Roman" w:eastAsia="Times New Roman" w:hAnsi="Times New Roman" w:cs="Times New Roman"/>
          <w:sz w:val="24"/>
          <w:szCs w:val="24"/>
          <w:highlight w:val="white"/>
        </w:rPr>
        <w:t>метициллинрезистентность” у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золотистого стафилококка встречается значительно чаще и в большей степени, чем у других стафилококков. Перечислить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все </w:t>
      </w:r>
      <w:r w:rsidR="00F1401E"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заболевания, которые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вызывает золотистый стафилококк практически невозможно, потому что по сути дела любая ткань или орган человека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могут являться местом вегетации этого микроба с возникновением и развитием патологического процесса разной степени тяжести. Тяжесть заболевания будет зависеть от биологически активных продуктов, которые образует стафилококк. Данные микробные продукты назы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ваются факторами вирулентности вызвавшего патологию штамма. “Золотистый стафилококк принадлежит к немногочисленной группе микроорганизмов, синтезирующих широкий набор факторов вирулентности, вкупе определяющий его способность вызывать ту или иную патологию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различной тяжести” (1).  </w:t>
      </w:r>
    </w:p>
    <w:p w14:paraId="4A54E0B4" w14:textId="77777777" w:rsidR="00240C0E" w:rsidRDefault="00240C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D2A3D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6" w:name="_bamgaipc8ydo" w:colFirst="0" w:colLast="0"/>
      <w:bookmarkEnd w:id="6"/>
      <w:r>
        <w:rPr>
          <w:sz w:val="24"/>
          <w:szCs w:val="24"/>
        </w:rPr>
        <w:t>1.3. Адгезия и защитные механизмы стафилококков</w:t>
      </w:r>
    </w:p>
    <w:p w14:paraId="068A3FA1" w14:textId="671EC045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Для того, чтобы золотистый стафилококк попал в клетку ему необходимо обеспечить тесный контакт с “атакуемой клеткой”. Для этого он синтезирует специальные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 xml:space="preserve">адгезины </w:t>
      </w:r>
      <w:r w:rsidR="00F1401E"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компоненты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елковой породы, позволяющие микробу фиксироваться и проникнуть внутрь клетки. В зависимости от места вегетации стафилококка (кровь, синовиальная полость и </w:t>
      </w:r>
      <w:r w:rsidR="00F1401E">
        <w:rPr>
          <w:rFonts w:ascii="Times New Roman" w:eastAsia="Times New Roman" w:hAnsi="Times New Roman" w:cs="Times New Roman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sz w:val="24"/>
          <w:szCs w:val="24"/>
        </w:rPr>
        <w:t>), он способен синтезировать именно такие адгезины, которые выполняют конкретную функцию в определе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нной ситуации. После адгезии следует проникновение бактерии внутрь клеток человека или через межклеточные образования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ткани. Попав внутрь клетки или тканей, обосновавшись на клеточных мембранах или инородных образованиях (катетерах, протезах), стафилокок</w:t>
      </w:r>
      <w:r>
        <w:rPr>
          <w:rFonts w:ascii="Times New Roman" w:eastAsia="Times New Roman" w:hAnsi="Times New Roman" w:cs="Times New Roman"/>
          <w:sz w:val="24"/>
          <w:szCs w:val="24"/>
        </w:rPr>
        <w:t>ки способны далее обеспечить себе несколько вариантов существования.  Они могут уйти в “глубокую защиту” или же могут защищать себя более агрессивно. В первом случае работают такие механизмы защиты бактерии как образование колоний (т.е. популяции физически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инертных клеток, невосприимчивых к действию антимикробных препаратов и факторов иммунитета человека), “прятание” в клетке хозяина (т.е. микроб переживает атаку антибиотиков и факторов иммунитета хозяина в клетках хозяина (в том числе и в фагоцитах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),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</w:t>
      </w:r>
      <w:r>
        <w:rPr>
          <w:rFonts w:ascii="Times New Roman" w:eastAsia="Times New Roman" w:hAnsi="Times New Roman" w:cs="Times New Roman"/>
          <w:sz w:val="24"/>
          <w:szCs w:val="24"/>
        </w:rPr>
        <w:t>же образование биопленки (сложная полимерная конструкция, в которой возбудитель защищен от воздействия внешних факторов). В “глубокую защиту” стафилококк обычно “уходит” в том случае, когда иммунные механизмы человека полноценны и способны эффективно повли</w:t>
      </w:r>
      <w:r>
        <w:rPr>
          <w:rFonts w:ascii="Times New Roman" w:eastAsia="Times New Roman" w:hAnsi="Times New Roman" w:cs="Times New Roman"/>
          <w:sz w:val="24"/>
          <w:szCs w:val="24"/>
        </w:rPr>
        <w:t>ять на агрессию микроба или же если лечебные мероприятия действенны. Но стафилококки способны защищать себя и более агрессивно, прежде всего путем подавления иммунных факторов человека. Стафилококки вырабатывают специальные экзотоксины лейкоцидин (способны</w:t>
      </w:r>
      <w:r>
        <w:rPr>
          <w:rFonts w:ascii="Times New Roman" w:eastAsia="Times New Roman" w:hAnsi="Times New Roman" w:cs="Times New Roman"/>
          <w:sz w:val="24"/>
          <w:szCs w:val="24"/>
        </w:rPr>
        <w:t>й избирательно поражать иммунные клетки человека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нейтрофилы, моноциты и макрофаги)), а также альфа-токсин (вызывает поражение лимфоцитов и макрофагов). Эти экзотоксины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образуют поры в клеточной оболочке клеток иммунитета человека, вызывая лизис самой клет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ки. </w:t>
      </w:r>
    </w:p>
    <w:p w14:paraId="00B7B253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7" w:name="_242npei3zqf8" w:colFirst="0" w:colLast="0"/>
      <w:bookmarkEnd w:id="7"/>
      <w:r>
        <w:rPr>
          <w:sz w:val="24"/>
          <w:szCs w:val="24"/>
        </w:rPr>
        <w:t xml:space="preserve">1.4. Клинически выраженные проявления инфекции </w:t>
      </w:r>
    </w:p>
    <w:p w14:paraId="2240BB6C" w14:textId="504752F1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Клинически выраженные проявления инфекции определяются факторами вирулентности стафилококка. Прямое их воздействие на ткани человека приводит к выбросу из фагоцитов цитокинов, способных радикально влият</w:t>
      </w:r>
      <w:r>
        <w:rPr>
          <w:rFonts w:ascii="Times New Roman" w:eastAsia="Times New Roman" w:hAnsi="Times New Roman" w:cs="Times New Roman"/>
          <w:sz w:val="24"/>
          <w:szCs w:val="24"/>
        </w:rPr>
        <w:t>ь на иммунный ответ и воспалительный процесс в организме. Повышенная концентрация цитокинов в крови проявляется гипертермией, тахикардией, одышкой, мышечными и суставными болями и лейкоцитозом. Все это на поздней стадии приводит к внутрисистемной воспалите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льной реакции, сепсису, септическому шоку, диссеминированному сосудистому 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свертыванию и</w:t>
      </w:r>
      <w:r>
        <w:rPr>
          <w:rFonts w:ascii="Times New Roman" w:eastAsia="Times New Roman" w:hAnsi="Times New Roman" w:cs="Times New Roman"/>
          <w:sz w:val="24"/>
          <w:szCs w:val="24"/>
        </w:rPr>
        <w:t>, в конечном счете, к гибели организма. Помимо вышеперечисленного стафилококки также способны продуцировать т.н. суперантигены — это полипептиды, вызывающие у больных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индром тяжелого токсикоза с развитием шока, а также усиленную деструкцию тканей человека в том числе разрушение тканей легких. Экзотоксин лейкоцидин также подавляет функцию митохондрий в клетке, что приводит к еще более быстрому апоптозу. </w:t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1EC48574" wp14:editId="744078D2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1639253" cy="1648019"/>
            <wp:effectExtent l="0" t="0" r="0" b="0"/>
            <wp:wrapSquare wrapText="bothSides" distT="57150" distB="57150" distL="57150" distR="571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43846"/>
                    <a:stretch>
                      <a:fillRect/>
                    </a:stretch>
                  </pic:blipFill>
                  <pic:spPr>
                    <a:xfrm>
                      <a:off x="0" y="0"/>
                      <a:ext cx="1639253" cy="1648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62EA97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CE655A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8" w:name="_7mp0lk6cdhft" w:colFirst="0" w:colLast="0"/>
      <w:bookmarkEnd w:id="8"/>
      <w:r>
        <w:rPr>
          <w:sz w:val="24"/>
          <w:szCs w:val="24"/>
        </w:rPr>
        <w:t>1.5.  Антимикр</w:t>
      </w:r>
      <w:r>
        <w:rPr>
          <w:sz w:val="24"/>
          <w:szCs w:val="24"/>
        </w:rPr>
        <w:t>обные препараты</w:t>
      </w:r>
    </w:p>
    <w:p w14:paraId="0A1322A0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В создании эффективной концентрации антимикробных препаратов в тканях большую роль играет их повреждающий потенциал, а точнее тот, который называют прямым токсическим или органотропным действием. Все антибиотики условно можно разделить на </w:t>
      </w:r>
      <w:r>
        <w:rPr>
          <w:rFonts w:ascii="Times New Roman" w:eastAsia="Times New Roman" w:hAnsi="Times New Roman" w:cs="Times New Roman"/>
          <w:sz w:val="24"/>
          <w:szCs w:val="24"/>
        </w:rPr>
        <w:t>три группы по опасности прямого токсического действия, что непосредственно влияет на общее количество доз антибиотика, необходимого для полной терапии. Так антибиотики разделяются на препараты широкого дозирования (пенициллины), ограниченного дозирования (</w:t>
      </w:r>
      <w:r>
        <w:rPr>
          <w:rFonts w:ascii="Times New Roman" w:eastAsia="Times New Roman" w:hAnsi="Times New Roman" w:cs="Times New Roman"/>
          <w:sz w:val="24"/>
          <w:szCs w:val="24"/>
        </w:rPr>
        <w:t>цефалоспорины, фосфомицин) и строгого дозирования (остальные). Максимальная доза первых не превышает 150 мг/кг веса больного в сутки, вторые применяются в пределах 100 - 150 мг/кг в сутки. У антибиотика же строгого дозирования доза является единственно воз</w:t>
      </w:r>
      <w:r>
        <w:rPr>
          <w:rFonts w:ascii="Times New Roman" w:eastAsia="Times New Roman" w:hAnsi="Times New Roman" w:cs="Times New Roman"/>
          <w:sz w:val="24"/>
          <w:szCs w:val="24"/>
        </w:rPr>
        <w:t>можной и может быть увеличена не более чем в 2 раза.  Поэтому, когда речь идет об устойчивости бактерии к воздействию антибиотиков, важно понимать можно ли ее преодолеть путем применения больших доз препарата или же нет. Когда же говориться о том, что мети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циллинрезистентные стафилококки резистентны ко всем антибиотикам бета-лактамной структуры, это означает, что минимальная подавляющая концентрация (МПК) этих препаратов превышает те значения, которые характеризуют стафилококки как чувствительные. </w:t>
      </w:r>
    </w:p>
    <w:p w14:paraId="1B2405CE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Чувствит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ельность или устойчивость стафилококка 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оксациллину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(бета-лактамный антибиотик узкого спектра действия из пенициллинового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класса) сегодня является основным показателем того, есть ли метициллинрезистентность. Альтернативой может служить также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цефокситин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Эти антибиотики обладают высокой МПК. Выявление метициллинрезистентности у штамма бактерий очень важно, ведь от этого будет зависеть само лечение, а именно включение/исключение из использование огромного спектра бета-лактамных антибиотиков 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 — важных препа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ратов широкого дозирования, которые служат ингибиторами синтеза микробной оболочки, без которой микробные структуры просто "лопнут" под влиянием внутриклеточного давления.  Лечение же метициллинрезистентного стафилококка такими антибиотиками не приведет к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нужному результату. </w:t>
      </w:r>
    </w:p>
    <w:p w14:paraId="4FFF73B8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14:paraId="1607496A" w14:textId="77777777" w:rsidR="00240C0E" w:rsidRDefault="005B4FAC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_ekjemjhbik9b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>ГЛАВА 2. Стратегия Контроля Антимикробной Терапии</w:t>
      </w:r>
    </w:p>
    <w:p w14:paraId="30982CBE" w14:textId="77777777" w:rsidR="00240C0E" w:rsidRDefault="00240C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F94891" w14:textId="191D8357" w:rsidR="00240C0E" w:rsidRDefault="005B4FAC">
      <w:pPr>
        <w:pStyle w:val="2"/>
        <w:spacing w:line="360" w:lineRule="auto"/>
        <w:rPr>
          <w:sz w:val="24"/>
          <w:szCs w:val="24"/>
        </w:rPr>
      </w:pPr>
      <w:bookmarkStart w:id="10" w:name="_esu6n36k2i0l" w:colFirst="0" w:colLast="0"/>
      <w:bookmarkEnd w:id="10"/>
      <w:r>
        <w:rPr>
          <w:sz w:val="24"/>
          <w:szCs w:val="24"/>
        </w:rPr>
        <w:t xml:space="preserve">2.1. Методология выявления “метициллинрезистентности” </w:t>
      </w:r>
      <w:r w:rsidR="00F27CAC">
        <w:rPr>
          <w:sz w:val="24"/>
          <w:szCs w:val="24"/>
        </w:rPr>
        <w:t>стафилококков</w:t>
      </w:r>
    </w:p>
    <w:p w14:paraId="6E61D0D1" w14:textId="77777777" w:rsidR="00240C0E" w:rsidRDefault="005B4F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существует несколько методов выявления “метициллинрезистентности” у стафилококков. Из них самыми распространенными являются метод серийных разведений и диск-диффузионный. Подробнее остановлюсь на каждом из них. </w:t>
      </w:r>
    </w:p>
    <w:p w14:paraId="3994E294" w14:textId="1F3B3DF1" w:rsidR="00240C0E" w:rsidRDefault="005B4FAC">
      <w:p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Метод серийных разведений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основывается на данных о микробиологической активности антибактериального препарата т.е. на его минимальной подавляющей концентрации (МПК).  Эти данные представляют 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из себя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количественный показатель, для выявления которого препарат добавляют в бульонную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культуру или в плотную питательную среду. Ее засевают культурой исследуемого микроорганизма. Далее через определенное количество времени делается вывод о приросте или отсутствии видимого роста бактерий. “В зависимости от характера используемой питательной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среды различают методы серийных разведений в агаре или в бульоне. В зависимости от объема используемой жидкой питательной среды выделяют методы серийных макро- и микроразведений”.</w:t>
      </w:r>
    </w:p>
    <w:p w14:paraId="1FC51CF6" w14:textId="0027C709" w:rsidR="00240C0E" w:rsidRDefault="005B4F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Диск-диффузионный метод, наряду с методом серийных разведений определения ме</w:t>
      </w:r>
      <w:r>
        <w:rPr>
          <w:rFonts w:ascii="Times New Roman" w:eastAsia="Times New Roman" w:hAnsi="Times New Roman" w:cs="Times New Roman"/>
          <w:sz w:val="24"/>
          <w:szCs w:val="24"/>
        </w:rPr>
        <w:t>тициллинрезистентности, являются самыми часто используемыми и распространенными среди прочих. Он основан на диффузии антимикробного препарата из носителя в плотную питательную среду и подавлении роста исследуемой культуры в той зоне, где концентрация антим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икробного препарата превосходит МПК. Для диск-диффузионного метода используются два варианта дисков: с оксациллином (1 мкг антибиотика) и с цефокситином (30 мкг антибиотика). В настоящее время наиболее распространен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вариант с цефокситином, но 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допускается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и использование обоих параллельно. “Результатом исследования является отнесение микроорганизма к одной из категорий чувствительности (чувствительный, промежуточный или резистентный)”. </w:t>
      </w:r>
    </w:p>
    <w:p w14:paraId="67F4D0FF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07377" w14:textId="647B106A" w:rsidR="006D1A45" w:rsidRPr="006D1A45" w:rsidRDefault="005B4FAC" w:rsidP="006D1A45">
      <w:pPr>
        <w:pStyle w:val="2"/>
        <w:spacing w:line="360" w:lineRule="auto"/>
        <w:rPr>
          <w:sz w:val="24"/>
          <w:szCs w:val="24"/>
        </w:rPr>
      </w:pPr>
      <w:bookmarkStart w:id="11" w:name="_y6zk59bs8ovi" w:colFirst="0" w:colLast="0"/>
      <w:bookmarkEnd w:id="11"/>
      <w:r>
        <w:rPr>
          <w:sz w:val="24"/>
          <w:szCs w:val="24"/>
        </w:rPr>
        <w:t>2.2. Программа СКАТ и этапы ее реализации</w:t>
      </w:r>
    </w:p>
    <w:p w14:paraId="79631CB8" w14:textId="2C92F796" w:rsidR="006D1A45" w:rsidRDefault="005B4F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“Стратегии </w:t>
      </w:r>
      <w:r>
        <w:rPr>
          <w:rFonts w:ascii="Times New Roman" w:eastAsia="Times New Roman" w:hAnsi="Times New Roman" w:cs="Times New Roman"/>
          <w:sz w:val="24"/>
          <w:szCs w:val="24"/>
        </w:rPr>
        <w:t>Контроля Антимикробной Терапии” была задумана еще в 2012 году экспертами 5 Российских общественных организаций и введена в активное использования в больницы и стационары России с 2017 года. Программа представляет собой свод рекомендованных действий и совет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ов, направленных на борьбу с устойчивостью микробов к антибиотическим препаратам, а также освещает перечень вопросов, связанных с рациональным применением антимикробных препаратов. Целью настоящих практических рекомендаций являются: </w:t>
      </w:r>
    </w:p>
    <w:p w14:paraId="32779047" w14:textId="1C542E25" w:rsidR="006D1A45" w:rsidRPr="006D1A45" w:rsidRDefault="005B4FAC" w:rsidP="006D1A45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оптимизация 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АМП в стационарах РФ; </w:t>
      </w:r>
    </w:p>
    <w:p w14:paraId="5016EC58" w14:textId="4639A59B" w:rsidR="006D1A45" w:rsidRPr="006D1A45" w:rsidRDefault="005B4FAC" w:rsidP="006D1A45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сдерживание антибиотикорезистентности. </w:t>
      </w:r>
    </w:p>
    <w:p w14:paraId="06917B4A" w14:textId="7ACD60A4" w:rsidR="006D1A45" w:rsidRDefault="005B4F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“Благодаря программе СКАТ можно оптимизировать применение АМП при участии тех специалистов, которые имеют возможность влиять в стационаре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принятие решений по стратегическим и тактическим во</w:t>
      </w:r>
      <w:r>
        <w:rPr>
          <w:rFonts w:ascii="Times New Roman" w:eastAsia="Times New Roman" w:hAnsi="Times New Roman" w:cs="Times New Roman"/>
          <w:sz w:val="24"/>
          <w:szCs w:val="24"/>
        </w:rPr>
        <w:t>просам использования АМП. Эффективные программы стратегии рационального использования антибиотиков в стационаре и профилактики нозокомиальных инфекций могут быть финансово самоокупаемыми и повышать качество лечения пацие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тов”. </w:t>
      </w:r>
    </w:p>
    <w:p w14:paraId="3D2EE2E4" w14:textId="77777777" w:rsidR="00240C0E" w:rsidRDefault="005B4F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Этапы реализации программы С</w:t>
      </w:r>
      <w:r>
        <w:rPr>
          <w:rFonts w:ascii="Times New Roman" w:eastAsia="Times New Roman" w:hAnsi="Times New Roman" w:cs="Times New Roman"/>
          <w:sz w:val="24"/>
          <w:szCs w:val="24"/>
        </w:rPr>
        <w:t>КАТ включают в себя несколько этапов:</w:t>
      </w:r>
    </w:p>
    <w:p w14:paraId="5D2C4054" w14:textId="57B5F6E4" w:rsidR="006D1A45" w:rsidRPr="006D1A45" w:rsidRDefault="005B4FAC" w:rsidP="006D1A45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Стратификация пациентов по степени риска АБ-резистентности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 2, 3а, 3б, 4 типы) и назначения стартовой терапии исходя из соответствующего риска (см. 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6F387FA" w14:textId="6AEE21A5" w:rsidR="006D1A45" w:rsidRPr="006D1A45" w:rsidRDefault="006D1A45" w:rsidP="006D1A45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8680DA4" wp14:editId="5E256B54">
            <wp:simplePos x="0" y="0"/>
            <wp:positionH relativeFrom="column">
              <wp:posOffset>-37119</wp:posOffset>
            </wp:positionH>
            <wp:positionV relativeFrom="paragraph">
              <wp:posOffset>646777</wp:posOffset>
            </wp:positionV>
            <wp:extent cx="5940115" cy="3999285"/>
            <wp:effectExtent l="0" t="0" r="0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99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B4FAC">
        <w:rPr>
          <w:rFonts w:ascii="Times New Roman" w:eastAsia="Times New Roman" w:hAnsi="Times New Roman" w:cs="Times New Roman"/>
          <w:sz w:val="24"/>
          <w:szCs w:val="24"/>
        </w:rPr>
        <w:t xml:space="preserve"> Взятие проб для микробиологического исследования до</w:t>
      </w:r>
      <w:r w:rsidR="005B4FAC">
        <w:rPr>
          <w:rFonts w:ascii="Times New Roman" w:eastAsia="Times New Roman" w:hAnsi="Times New Roman" w:cs="Times New Roman"/>
          <w:sz w:val="24"/>
          <w:szCs w:val="24"/>
        </w:rPr>
        <w:t xml:space="preserve"> начала антибактериальной терапии</w:t>
      </w:r>
    </w:p>
    <w:p w14:paraId="45FCA608" w14:textId="14CA6973" w:rsidR="00240C0E" w:rsidRDefault="005B4FAC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Коррекция антибактериальной терапии по результатам микробиологического исследования</w:t>
      </w:r>
    </w:p>
    <w:p w14:paraId="087A4E16" w14:textId="09DC74C7" w:rsidR="00240C0E" w:rsidRDefault="006D1A4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947ADD5" wp14:editId="6C83280B">
            <wp:simplePos x="0" y="0"/>
            <wp:positionH relativeFrom="column">
              <wp:posOffset>-182880</wp:posOffset>
            </wp:positionH>
            <wp:positionV relativeFrom="paragraph">
              <wp:posOffset>309245</wp:posOffset>
            </wp:positionV>
            <wp:extent cx="6089015" cy="3524250"/>
            <wp:effectExtent l="0" t="0" r="6985" b="0"/>
            <wp:wrapTopAndBottom distT="114300" distB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AC">
        <w:rPr>
          <w:rFonts w:ascii="Times New Roman" w:eastAsia="Times New Roman" w:hAnsi="Times New Roman" w:cs="Times New Roman"/>
          <w:sz w:val="24"/>
          <w:szCs w:val="24"/>
        </w:rPr>
        <w:t xml:space="preserve">Подробная схема действий после госпитализации пациента представлена в приложении 7. </w:t>
      </w:r>
    </w:p>
    <w:p w14:paraId="131C30E5" w14:textId="0C51F207" w:rsidR="00240C0E" w:rsidRDefault="005B4FAC" w:rsidP="00A1310D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ocw6plm0ugrd" w:colFirst="0" w:colLast="0"/>
      <w:bookmarkStart w:id="13" w:name="_7o3xvxj956cf" w:colFirst="0" w:colLast="0"/>
      <w:bookmarkEnd w:id="12"/>
      <w:bookmarkEnd w:id="13"/>
      <w:r>
        <w:rPr>
          <w:rFonts w:ascii="Times New Roman" w:eastAsia="Times New Roman" w:hAnsi="Times New Roman" w:cs="Times New Roman"/>
          <w:sz w:val="24"/>
          <w:szCs w:val="24"/>
        </w:rPr>
        <w:t>ГЛАВА 3.  Исследование количества метициллинрезистентных Staphylococcus aureus в отделении гнойной хирургии сейчас и до введения программы профилактики их распространения</w:t>
      </w:r>
    </w:p>
    <w:p w14:paraId="4BC34447" w14:textId="181DF05B" w:rsidR="006D1A45" w:rsidRPr="006D1A45" w:rsidRDefault="006D1A45" w:rsidP="006D1A45"/>
    <w:p w14:paraId="3B8C86F3" w14:textId="502747B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14" w:name="_72ad9cdrwnsd" w:colFirst="0" w:colLast="0"/>
      <w:bookmarkEnd w:id="14"/>
      <w:r>
        <w:rPr>
          <w:sz w:val="24"/>
          <w:szCs w:val="24"/>
        </w:rPr>
        <w:t>3</w:t>
      </w:r>
      <w:r>
        <w:rPr>
          <w:sz w:val="24"/>
          <w:szCs w:val="24"/>
        </w:rPr>
        <w:t>.1.</w:t>
      </w:r>
      <w:r w:rsidR="00ED3A1E"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Материалы и методы</w:t>
      </w:r>
    </w:p>
    <w:p w14:paraId="1921F63D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данном исследовании были использованы методы сравнительного,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литературного и математического анализа. Опираясь на изученную литературу, 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провела сравнение эффективности программы СКАТ (Стратегия Контроля Антимикробной Терапии) при оказании стационарной медицинской помощи, сопоставив текущие данные по ГКБ имени Бау</w:t>
      </w:r>
      <w:r>
        <w:rPr>
          <w:rFonts w:ascii="Times New Roman" w:eastAsia="Times New Roman" w:hAnsi="Times New Roman" w:cs="Times New Roman"/>
          <w:sz w:val="24"/>
          <w:szCs w:val="24"/>
        </w:rPr>
        <w:t>мана, Москва и данные до введения программы. Для исследования были взяты данные по больнице по уровню резистентности ведущий микрофлоры (отделение гнойной хирургии) за 2009, 2011, 2013, 2014 и 2019 года. Сравнивала долю больных с инфекциями, вызванными мет</w:t>
      </w:r>
      <w:r>
        <w:rPr>
          <w:rFonts w:ascii="Times New Roman" w:eastAsia="Times New Roman" w:hAnsi="Times New Roman" w:cs="Times New Roman"/>
          <w:sz w:val="24"/>
          <w:szCs w:val="24"/>
        </w:rPr>
        <w:t>ициллинрезистентными стафилококками, от общего количества больных по больнице за вышеперечисленные года. Чувствительность или устойчивость стафилококка к оксациллину (бета-лактамный антибиотик узкого спектра действия из пенициллинового класса) сегодня явля</w:t>
      </w:r>
      <w:r>
        <w:rPr>
          <w:rFonts w:ascii="Times New Roman" w:eastAsia="Times New Roman" w:hAnsi="Times New Roman" w:cs="Times New Roman"/>
          <w:sz w:val="24"/>
          <w:szCs w:val="24"/>
        </w:rPr>
        <w:t>ется основным показателем того, есть ли метициллинрезистентность. Альтернативой может служить также цефокситин. Поэтому в своем исследовании я также опиралась на эти антибиотики. Для построения графиков, математических подсчетах, вычисления погрешности и с</w:t>
      </w:r>
      <w:r>
        <w:rPr>
          <w:rFonts w:ascii="Times New Roman" w:eastAsia="Times New Roman" w:hAnsi="Times New Roman" w:cs="Times New Roman"/>
          <w:sz w:val="24"/>
          <w:szCs w:val="24"/>
        </w:rPr>
        <w:t>татистической обработки использовалась программа Microsoft Excel.  В работе сравнивалось количество метициллинрезистентных Staphylococcus aureus в отделении гнойной хирургии сейчас (2019 год) и до введения программы профилактики их распространения (2009, 2</w:t>
      </w:r>
      <w:r>
        <w:rPr>
          <w:rFonts w:ascii="Times New Roman" w:eastAsia="Times New Roman" w:hAnsi="Times New Roman" w:cs="Times New Roman"/>
          <w:sz w:val="24"/>
          <w:szCs w:val="24"/>
        </w:rPr>
        <w:t>011, 2013, 2014 года).</w:t>
      </w:r>
    </w:p>
    <w:p w14:paraId="46F05375" w14:textId="77777777" w:rsidR="00240C0E" w:rsidRDefault="005B4FA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Оценивал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ась эффективность программы СКАТ (Стратегия Контроля Антимикробной Терапии) при оказании стационарной медицинской помощи по данным за 2019 год. </w:t>
      </w:r>
    </w:p>
    <w:p w14:paraId="0CBE8C6B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15" w:name="_1dxkdc89hpha" w:colFirst="0" w:colLast="0"/>
      <w:bookmarkEnd w:id="15"/>
      <w:r>
        <w:rPr>
          <w:sz w:val="24"/>
          <w:szCs w:val="24"/>
        </w:rPr>
        <w:t>3.2. Результаты и обсуждение.</w:t>
      </w:r>
    </w:p>
    <w:p w14:paraId="051DA158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Сравнительная таблица по кол-ву больных с MRSA до </w:t>
      </w:r>
      <w:r>
        <w:rPr>
          <w:rFonts w:ascii="Times New Roman" w:eastAsia="Times New Roman" w:hAnsi="Times New Roman" w:cs="Times New Roman"/>
          <w:sz w:val="24"/>
          <w:szCs w:val="24"/>
        </w:rPr>
        <w:t>и после введения программы СКАТ</w:t>
      </w:r>
    </w:p>
    <w:tbl>
      <w:tblPr>
        <w:tblStyle w:val="a6"/>
        <w:tblW w:w="87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470"/>
        <w:gridCol w:w="1035"/>
        <w:gridCol w:w="1020"/>
        <w:gridCol w:w="1155"/>
        <w:gridCol w:w="1290"/>
        <w:gridCol w:w="1665"/>
      </w:tblGrid>
      <w:tr w:rsidR="00240C0E" w14:paraId="1CEAB2F2" w14:textId="77777777">
        <w:trPr>
          <w:trHeight w:val="84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3507C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F382A2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СКАТ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E755AB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R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CE72A3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больных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10B82B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%% R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764B78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%% R </w:t>
            </w:r>
          </w:p>
          <w:p w14:paraId="043A328F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(СКАТ)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EEAF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B24415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антибиотик</w:t>
            </w:r>
          </w:p>
        </w:tc>
      </w:tr>
      <w:tr w:rsidR="00240C0E" w14:paraId="780D201E" w14:textId="77777777">
        <w:trPr>
          <w:trHeight w:val="300"/>
        </w:trPr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DFB52B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4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628DD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введения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CA4BAD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C5F7D3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C13A89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46,9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EF6E4A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66E287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оксациллин</w:t>
            </w:r>
          </w:p>
        </w:tc>
      </w:tr>
      <w:tr w:rsidR="00240C0E" w14:paraId="740DDA89" w14:textId="77777777">
        <w:trPr>
          <w:trHeight w:val="300"/>
        </w:trPr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961F41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9B9EF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9EDDF1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53168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3527DE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3541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D2F4FF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оксациллин</w:t>
            </w:r>
          </w:p>
        </w:tc>
      </w:tr>
      <w:tr w:rsidR="00240C0E" w14:paraId="2B185244" w14:textId="77777777">
        <w:trPr>
          <w:trHeight w:val="300"/>
        </w:trPr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85BC5E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5310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B782C0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1FD5FE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14DBC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04AF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F069D2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цефокситин</w:t>
            </w:r>
          </w:p>
        </w:tc>
      </w:tr>
      <w:tr w:rsidR="00240C0E" w14:paraId="2070974D" w14:textId="77777777">
        <w:trPr>
          <w:trHeight w:val="300"/>
        </w:trPr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8BE49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F094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42337C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BDEE17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63E496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52EA0" w14:textId="77777777" w:rsidR="00240C0E" w:rsidRDefault="00240C0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1A8BC4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цефокситин</w:t>
            </w:r>
          </w:p>
        </w:tc>
      </w:tr>
      <w:tr w:rsidR="00240C0E" w14:paraId="2A7685B1" w14:textId="77777777">
        <w:trPr>
          <w:trHeight w:val="570"/>
        </w:trPr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692830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2019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376A4A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введения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F58335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B7586E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1298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C83512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7,6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A8EDD3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7,6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B87BE9" w14:textId="77777777" w:rsidR="00240C0E" w:rsidRDefault="005B4F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цефокситин</w:t>
            </w:r>
          </w:p>
        </w:tc>
      </w:tr>
    </w:tbl>
    <w:p w14:paraId="1FF3AE72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780867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6218CFBF" wp14:editId="6CE6AA93">
            <wp:extent cx="4334828" cy="2915998"/>
            <wp:effectExtent l="0" t="0" r="0" b="0"/>
            <wp:docPr id="5" name="image2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828" cy="291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75214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448A02" w14:textId="77777777" w:rsidR="00240C0E" w:rsidRDefault="005B4FAC">
      <w:pPr>
        <w:pStyle w:val="2"/>
        <w:spacing w:after="0" w:line="360" w:lineRule="auto"/>
        <w:rPr>
          <w:sz w:val="24"/>
          <w:szCs w:val="24"/>
        </w:rPr>
      </w:pPr>
      <w:bookmarkStart w:id="16" w:name="_npx6bcl1uze1" w:colFirst="0" w:colLast="0"/>
      <w:bookmarkEnd w:id="16"/>
      <w:r>
        <w:rPr>
          <w:sz w:val="24"/>
          <w:szCs w:val="24"/>
        </w:rPr>
        <w:t>3.3. Выводы</w:t>
      </w:r>
    </w:p>
    <w:p w14:paraId="6A6F1FCD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исследования видно, что процент пациентов с MRSA после введения программы СКАТ более, чем в три раза меньше, чем до ее введения с учетом погрешности. </w:t>
      </w:r>
    </w:p>
    <w:p w14:paraId="4423FAB3" w14:textId="77777777" w:rsidR="00240C0E" w:rsidRDefault="00240C0E">
      <w:pPr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3558F34" w14:textId="77777777" w:rsidR="00240C0E" w:rsidRDefault="005B4FAC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2tru3zsj5qo8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t>ЗАКЛЮЧЕНИЕ</w:t>
      </w:r>
    </w:p>
    <w:p w14:paraId="74638020" w14:textId="43D3FE70" w:rsidR="00240C0E" w:rsidRDefault="005B4F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Общий итог 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работы: была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изучена необходимая литература, связанная с стафилоко</w:t>
      </w:r>
      <w:r>
        <w:rPr>
          <w:rFonts w:ascii="Times New Roman" w:eastAsia="Times New Roman" w:hAnsi="Times New Roman" w:cs="Times New Roman"/>
          <w:sz w:val="24"/>
          <w:szCs w:val="24"/>
        </w:rPr>
        <w:t>кками (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золотистым, в частности</w:t>
      </w:r>
      <w:r>
        <w:rPr>
          <w:rFonts w:ascii="Times New Roman" w:eastAsia="Times New Roman" w:hAnsi="Times New Roman" w:cs="Times New Roman"/>
          <w:sz w:val="24"/>
          <w:szCs w:val="24"/>
        </w:rPr>
        <w:t>), как возбудителями заболеваний, механизмами их действия, особенностями и локализацией. С помощью по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добного литературного анализа была подтверждена актуальность моей работы, сконцентрировано внимание на существующей проблеме, </w:t>
      </w:r>
      <w:r>
        <w:rPr>
          <w:rFonts w:ascii="Times New Roman" w:eastAsia="Times New Roman" w:hAnsi="Times New Roman" w:cs="Times New Roman"/>
          <w:sz w:val="24"/>
          <w:szCs w:val="24"/>
        </w:rPr>
        <w:t>а также предоставлена необходимая информация и терминология для более глубокого изучения механизмов программы “Стратегии Контроля Антимикробной Терапии”, а также будущего сравнительного и математического анализа. Далее были изучены механизмы работы програм</w:t>
      </w:r>
      <w:r>
        <w:rPr>
          <w:rFonts w:ascii="Times New Roman" w:eastAsia="Times New Roman" w:hAnsi="Times New Roman" w:cs="Times New Roman"/>
          <w:sz w:val="24"/>
          <w:szCs w:val="24"/>
        </w:rPr>
        <w:t>мы “Стратегии Контроля Антимикробной Терапии”, данные больничных алгоритмов на инфекции MRSA, предоставленные ГКБ имени Баумана за 2009, 2011, 2013, 2014 и 2019 года, на основании которых мной было проведено исследование эффективности программы “СКАТ”</w:t>
      </w:r>
      <w:r w:rsidR="007E7BB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путе</w:t>
      </w:r>
      <w:r>
        <w:rPr>
          <w:rFonts w:ascii="Times New Roman" w:eastAsia="Times New Roman" w:hAnsi="Times New Roman" w:cs="Times New Roman"/>
          <w:sz w:val="24"/>
          <w:szCs w:val="24"/>
        </w:rPr>
        <w:t>м сравнения данных по вышеупомянутой больнице до и после ее введения. Результаты исследования были представлены в виде сводной таблицы и диаграммы. Такой способ является наиболее наглядным для того, чтобы продемонстрировать колоссальные различия между двум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значениями. Статистическая значимость исследования была доказана в “Приложении 1”. В доказательстве была использована методика хи-квадрата Пирсона - стандартный и актуальный анализ медицинских данных. </w:t>
      </w:r>
    </w:p>
    <w:p w14:paraId="28373B58" w14:textId="5ADBF196" w:rsidR="00240C0E" w:rsidRDefault="005B4F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 гипотеза о том, что “Количество метици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ллинрезистентных Staphylococcus aureus в отделении гнойной хирургии сейчас значительно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меньше, чем до введения программы профилактики их распространения” подтвердилась в пределах моего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EC7236" w14:textId="4CE07B03" w:rsidR="00240C0E" w:rsidRDefault="005B4F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Следует отметить, что экспериментальную часть можно 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чительно улучшить, если брать для анализа больше данных (за большее количество лет) как </w:t>
      </w:r>
      <w:r w:rsidR="00613841">
        <w:rPr>
          <w:rFonts w:ascii="Times New Roman" w:eastAsia="Times New Roman" w:hAnsi="Times New Roman" w:cs="Times New Roman"/>
          <w:sz w:val="24"/>
          <w:szCs w:val="24"/>
        </w:rPr>
        <w:t>до,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 и после введение программы “СКАТ”. В таком случае статистическая погрешность сильно уменьшиться, и результаты будут более достоверны.</w:t>
      </w:r>
    </w:p>
    <w:p w14:paraId="2EE67A41" w14:textId="77777777" w:rsidR="00240C0E" w:rsidRDefault="005B4F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же говорить о возможны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перспективах данной работы, то она в первую очередь призвана показать результативность новых профилактических введений в связи с обостряющийся проблемой, акцентировать на ней внимание и продемонстрировать ее актуальность.  </w:t>
      </w:r>
    </w:p>
    <w:p w14:paraId="5AECD406" w14:textId="24A5090C" w:rsidR="00240C0E" w:rsidRDefault="005B4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заключение хочу поблагодарит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="00ED3A1E">
        <w:rPr>
          <w:rFonts w:ascii="Times New Roman" w:eastAsia="Times New Roman" w:hAnsi="Times New Roman" w:cs="Times New Roman"/>
          <w:sz w:val="24"/>
          <w:szCs w:val="24"/>
        </w:rPr>
        <w:t>также Волохову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Разию Юрьевну за руководство работой, за ее консультирование, своевременную проверку</w:t>
      </w:r>
      <w:r w:rsidR="005002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00255" w:rsidRPr="00500255">
        <w:rPr>
          <w:rFonts w:ascii="Times New Roman" w:eastAsia="Times New Roman" w:hAnsi="Times New Roman" w:cs="Times New Roman"/>
          <w:sz w:val="24"/>
          <w:szCs w:val="24"/>
        </w:rPr>
        <w:t>предоставление необходимых материалов для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т.п., Ноздрачеву Анну Николаевну за рецензирование работы, </w:t>
      </w:r>
      <w:r>
        <w:rPr>
          <w:rFonts w:ascii="Times New Roman" w:eastAsia="Times New Roman" w:hAnsi="Times New Roman" w:cs="Times New Roman"/>
          <w:sz w:val="24"/>
          <w:szCs w:val="24"/>
        </w:rPr>
        <w:t>а также за помощь в обработке данных.</w:t>
      </w:r>
    </w:p>
    <w:p w14:paraId="4A8EBDCD" w14:textId="77777777" w:rsidR="00240C0E" w:rsidRDefault="00240C0E">
      <w:pPr>
        <w:spacing w:after="0" w:line="360" w:lineRule="auto"/>
        <w:ind w:right="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143038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AD0DF" w14:textId="48A00092" w:rsidR="00240C0E" w:rsidRDefault="00240C0E">
      <w:pPr>
        <w:pStyle w:val="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30j0zll" w:colFirst="0" w:colLast="0"/>
      <w:bookmarkEnd w:id="18"/>
    </w:p>
    <w:p w14:paraId="3D42B0B0" w14:textId="42812D00" w:rsidR="00ED3A1E" w:rsidRDefault="00ED3A1E" w:rsidP="00ED3A1E"/>
    <w:p w14:paraId="70A82367" w14:textId="7D630E6A" w:rsidR="00ED3A1E" w:rsidRDefault="00ED3A1E" w:rsidP="00ED3A1E"/>
    <w:p w14:paraId="5C2CFD34" w14:textId="44FAA81B" w:rsidR="00ED3A1E" w:rsidRDefault="00ED3A1E" w:rsidP="00ED3A1E"/>
    <w:p w14:paraId="5F0FE315" w14:textId="77777777" w:rsidR="00ED3A1E" w:rsidRPr="00ED3A1E" w:rsidRDefault="00ED3A1E" w:rsidP="00ED3A1E"/>
    <w:p w14:paraId="0E7BF6DF" w14:textId="77777777" w:rsidR="00240C0E" w:rsidRDefault="00240C0E"/>
    <w:p w14:paraId="44BA8627" w14:textId="77777777" w:rsidR="00240C0E" w:rsidRDefault="005B4FAC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nwz8ndrao2p7" w:colFirst="0" w:colLast="0"/>
      <w:bookmarkEnd w:id="19"/>
      <w:r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14:paraId="42B96866" w14:textId="77777777" w:rsidR="00240C0E" w:rsidRDefault="005B4FAC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Поляк М.С. Антибиотикотерапия проблемных инфекций (преодоление резистентности)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СПб.: Нестор-История, 2015 г.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 488с.</w:t>
      </w:r>
    </w:p>
    <w:p w14:paraId="5DE6EFEA" w14:textId="77777777" w:rsidR="00240C0E" w:rsidRDefault="005B4FAC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Программа  СКАТ  (Стратегия  Контроля  Антимикробной  Терапии)  при  оказании стационарной  медицинской  помощи:  Российские  клинические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рекомендации  /  Под  ред.  С.  В.  Яковлева,  Н.  И.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Брико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 С.  В.  Сидоренко,  Д.  Н.  Проценко.  –  М.: Издательство «Перо», 2018.  – 156 с.</w:t>
      </w:r>
    </w:p>
    <w:p w14:paraId="7F8EBC32" w14:textId="77777777" w:rsidR="00240C0E" w:rsidRDefault="005B4FAC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Словарь медицинских терминов - Национальный медико-хирургический Центр имени Н.И. Пирогова» Министерства [Сл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оварь] – Режим доступа: –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www.pirogov-center.ru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21D6C25A" w14:textId="77777777" w:rsidR="00240C0E" w:rsidRDefault="005B4FAC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Методические указания – МУК 4.2.1890-04 Определение чувствительности микроорганизмов к антибактериальным препаратам / Центральный научно-исследовательский институт эпидемиологии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Н.А.Семина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С.В.Сидоренко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Государственный научный центр по антибиотикам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</w:rPr>
        <w:t>П.Резван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С.А.Грудинина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Научно-исследовательский институт антимикробной химиотерапии Смоленской государственной медицинской академии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Л.С.Страчунский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О.У.Стецюк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Р.С.Козлов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М.В.Эйдельштейн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Кафедра микробиологии и химиотерапии Российской медицинской а</w:t>
      </w:r>
      <w:r>
        <w:rPr>
          <w:rFonts w:ascii="Times New Roman" w:eastAsia="Times New Roman" w:hAnsi="Times New Roman" w:cs="Times New Roman"/>
          <w:sz w:val="24"/>
          <w:szCs w:val="24"/>
        </w:rPr>
        <w:t>кадемии последипломного образования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Е.А.Ведьмина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Л.Г.Столярова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И.В.Власова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Федеральная служба по надзору в сфере защиты прав потребителей и благополучия человека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З.С.Середа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4 марта 2004 г.</w:t>
      </w:r>
    </w:p>
    <w:p w14:paraId="46EAB7A8" w14:textId="77777777" w:rsidR="00240C0E" w:rsidRDefault="005B4FAC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Библиотека постов MEDSTATISTIC об анализе медицинских данны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/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Марапов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2013</w:t>
      </w:r>
    </w:p>
    <w:p w14:paraId="35949461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D19BE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152F5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85F0B" w14:textId="77777777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62DAE7" w14:textId="7F877D35" w:rsidR="00240C0E" w:rsidRDefault="00240C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B5FA1" w14:textId="79F06340" w:rsidR="00ED3A1E" w:rsidRDefault="00ED3A1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C7E32" w14:textId="77777777" w:rsidR="00ED3A1E" w:rsidRDefault="00ED3A1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748258" w14:textId="77777777" w:rsidR="00240C0E" w:rsidRDefault="005B4FA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jz6mig5rz8ow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7EB94D2C" w14:textId="77777777" w:rsidR="00240C0E" w:rsidRDefault="005B4F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“Статистическая оценка результатов исследования”</w:t>
      </w:r>
    </w:p>
    <w:p w14:paraId="25D27DB5" w14:textId="77777777" w:rsidR="00240C0E" w:rsidRDefault="005B4FA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сопряженности:</w:t>
      </w:r>
    </w:p>
    <w:tbl>
      <w:tblPr>
        <w:tblStyle w:val="a7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8"/>
        <w:gridCol w:w="2339"/>
        <w:gridCol w:w="2339"/>
        <w:gridCol w:w="2339"/>
      </w:tblGrid>
      <w:tr w:rsidR="00240C0E" w14:paraId="61508223" w14:textId="77777777">
        <w:trPr>
          <w:trHeight w:val="477"/>
        </w:trPr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51D0" w14:textId="77777777" w:rsidR="00240C0E" w:rsidRDefault="00240C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4FDC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Наблюдаемое</w:t>
            </w:r>
          </w:p>
        </w:tc>
        <w:tc>
          <w:tcPr>
            <w:tcW w:w="2338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C86B6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Ожидаемое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8BB26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Всего</w:t>
            </w:r>
          </w:p>
        </w:tc>
      </w:tr>
      <w:tr w:rsidR="00240C0E" w14:paraId="1806CE68" w14:textId="77777777">
        <w:trPr>
          <w:trHeight w:val="775"/>
        </w:trPr>
        <w:tc>
          <w:tcPr>
            <w:tcW w:w="2338" w:type="dxa"/>
            <w:tcBorders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D50AE" w14:textId="77777777" w:rsidR="00240C0E" w:rsidRDefault="005B4F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введения (сумма 4х лет)</w:t>
            </w:r>
          </w:p>
        </w:tc>
        <w:tc>
          <w:tcPr>
            <w:tcW w:w="233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D067D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33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EDD1A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2338" w:type="dxa"/>
            <w:tcBorders>
              <w:lef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F34E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</w:tr>
      <w:tr w:rsidR="00240C0E" w14:paraId="4016FC20" w14:textId="77777777">
        <w:tc>
          <w:tcPr>
            <w:tcW w:w="2338" w:type="dxa"/>
            <w:tcBorders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21CE" w14:textId="77777777" w:rsidR="00240C0E" w:rsidRDefault="005B4F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введения</w:t>
            </w:r>
          </w:p>
        </w:tc>
        <w:tc>
          <w:tcPr>
            <w:tcW w:w="233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B440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33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E1FA" w14:textId="77777777" w:rsidR="00240C0E" w:rsidRDefault="005B4FA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1199</w:t>
            </w:r>
          </w:p>
        </w:tc>
        <w:tc>
          <w:tcPr>
            <w:tcW w:w="2338" w:type="dxa"/>
            <w:tcBorders>
              <w:lef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F0EC8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1298</w:t>
            </w:r>
          </w:p>
        </w:tc>
      </w:tr>
      <w:tr w:rsidR="00240C0E" w14:paraId="69E9C76F" w14:textId="77777777"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4000" w14:textId="77777777" w:rsidR="00240C0E" w:rsidRDefault="00240C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1AD0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338" w:type="dxa"/>
            <w:tcBorders>
              <w:top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07D18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F243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</w:t>
            </w:r>
          </w:p>
        </w:tc>
      </w:tr>
    </w:tbl>
    <w:p w14:paraId="4894D806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1302AD6" w14:textId="77777777" w:rsidR="00240C0E" w:rsidRDefault="005B4FAC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Рассчитываем ожидаемые значения для каждой ячейки:</w:t>
      </w:r>
    </w:p>
    <w:tbl>
      <w:tblPr>
        <w:tblStyle w:val="a8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6"/>
        <w:gridCol w:w="2355"/>
        <w:gridCol w:w="2256"/>
        <w:gridCol w:w="2388"/>
      </w:tblGrid>
      <w:tr w:rsidR="00240C0E" w14:paraId="3081FF12" w14:textId="77777777">
        <w:trPr>
          <w:trHeight w:val="477"/>
        </w:trPr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8003F" w14:textId="77777777" w:rsidR="00240C0E" w:rsidRDefault="00240C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6D0C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Наблюдаемое</w:t>
            </w:r>
          </w:p>
        </w:tc>
        <w:tc>
          <w:tcPr>
            <w:tcW w:w="2256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A1815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Ожидаемое</w:t>
            </w:r>
          </w:p>
        </w:tc>
        <w:tc>
          <w:tcPr>
            <w:tcW w:w="2388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DCB5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Всего</w:t>
            </w:r>
          </w:p>
        </w:tc>
      </w:tr>
      <w:tr w:rsidR="00240C0E" w14:paraId="7DFAD647" w14:textId="77777777">
        <w:trPr>
          <w:trHeight w:val="775"/>
        </w:trPr>
        <w:tc>
          <w:tcPr>
            <w:tcW w:w="2355" w:type="dxa"/>
            <w:tcBorders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1E00" w14:textId="77777777" w:rsidR="00240C0E" w:rsidRDefault="005B4F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введения (сумма 4х лет)</w:t>
            </w:r>
          </w:p>
        </w:tc>
        <w:tc>
          <w:tcPr>
            <w:tcW w:w="235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8BEB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(1024*369):2322=162,73</w:t>
            </w:r>
          </w:p>
        </w:tc>
        <w:tc>
          <w:tcPr>
            <w:tcW w:w="2256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E6666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(1024*1953):2322=861,27</w:t>
            </w:r>
          </w:p>
        </w:tc>
        <w:tc>
          <w:tcPr>
            <w:tcW w:w="238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4175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</w:tr>
      <w:tr w:rsidR="00240C0E" w14:paraId="43C06126" w14:textId="77777777">
        <w:tc>
          <w:tcPr>
            <w:tcW w:w="2355" w:type="dxa"/>
            <w:tcBorders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B6B84" w14:textId="77777777" w:rsidR="00240C0E" w:rsidRDefault="005B4F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введения</w:t>
            </w:r>
          </w:p>
        </w:tc>
        <w:tc>
          <w:tcPr>
            <w:tcW w:w="235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5509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(1298*369):2322=206,27</w:t>
            </w:r>
          </w:p>
        </w:tc>
        <w:tc>
          <w:tcPr>
            <w:tcW w:w="2256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308F1" w14:textId="77777777" w:rsidR="00240C0E" w:rsidRDefault="005B4FA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(1298*1953):2322=1091,73</w:t>
            </w:r>
          </w:p>
        </w:tc>
        <w:tc>
          <w:tcPr>
            <w:tcW w:w="238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FB1C" w14:textId="77777777" w:rsidR="00240C0E" w:rsidRDefault="005B4FA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1298</w:t>
            </w:r>
          </w:p>
        </w:tc>
      </w:tr>
      <w:tr w:rsidR="00240C0E" w14:paraId="1405D22A" w14:textId="77777777">
        <w:tc>
          <w:tcPr>
            <w:tcW w:w="2355" w:type="dxa"/>
            <w:tcBorders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D1EF" w14:textId="77777777" w:rsidR="00240C0E" w:rsidRDefault="005B4F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5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A394" w14:textId="77777777" w:rsidR="00240C0E" w:rsidRDefault="005B4F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256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D31DE" w14:textId="77777777" w:rsidR="00240C0E" w:rsidRDefault="005B4FA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2388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E7F8" w14:textId="77777777" w:rsidR="00240C0E" w:rsidRDefault="005B4FA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</w:t>
            </w:r>
          </w:p>
        </w:tc>
      </w:tr>
    </w:tbl>
    <w:p w14:paraId="3E5C4A28" w14:textId="77777777" w:rsidR="00240C0E" w:rsidRDefault="00240C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95C382" w14:textId="77777777" w:rsidR="00240C0E" w:rsidRDefault="005B4FA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Находим значение критерия хи-квадрат Пирсона:</w:t>
      </w:r>
    </w:p>
    <w:p w14:paraId="0D7A5069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х^2=(270-162,73)^2:162,73+(754-861,27)^2:861,27+(99-206,27)^2:206,27+(1199-1091,73)^2:1091,73 = =156</w:t>
      </w:r>
    </w:p>
    <w:p w14:paraId="286B7B20" w14:textId="77777777" w:rsidR="00240C0E" w:rsidRDefault="005B4FAC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Определяем число степеней свободы</w:t>
      </w:r>
    </w:p>
    <w:p w14:paraId="3E5F5032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формуле: f = (r – 1) × (c – 1). Соответственно, для четырехпольной таблицы, в которой 2 ряда (r = 2) и 2 столбца (c = 2), число степеней свободы составляет f2x2 = (2 - 1)*(2 - 1) = 1</w:t>
      </w:r>
    </w:p>
    <w:p w14:paraId="69945246" w14:textId="77777777" w:rsidR="00240C0E" w:rsidRDefault="005B4FA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 степеней свободы f = (2-1)*(2-1) = 1. Находим по таблице критиче</w:t>
      </w:r>
      <w:r>
        <w:rPr>
          <w:rFonts w:ascii="Times New Roman" w:eastAsia="Times New Roman" w:hAnsi="Times New Roman" w:cs="Times New Roman"/>
          <w:sz w:val="24"/>
          <w:szCs w:val="24"/>
        </w:rPr>
        <w:t>ское значение критерия хи-квадрат Пирсона, которое при  числе степеней свободы 1 составляет 3.841.</w:t>
      </w:r>
    </w:p>
    <w:p w14:paraId="7A252589" w14:textId="77777777" w:rsidR="00240C0E" w:rsidRDefault="005B4FA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Сравниваем полученное значение критерия хи-квадрат с критическим: 156 &gt; 3.841, следовательно разница количества пациентов с MRSA-инфекцией от общего количест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 пациентов по больнице- статистически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значима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ectPr w:rsidR="00240C0E">
      <w:footerReference w:type="even" r:id="rId13"/>
      <w:footerReference w:type="default" r:id="rId14"/>
      <w:pgSz w:w="11906" w:h="16838"/>
      <w:pgMar w:top="1134" w:right="850" w:bottom="1134" w:left="1701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63EC3" w14:textId="77777777" w:rsidR="00000000" w:rsidRDefault="005B4FAC">
      <w:pPr>
        <w:spacing w:after="0" w:line="240" w:lineRule="auto"/>
      </w:pPr>
      <w:r>
        <w:separator/>
      </w:r>
    </w:p>
  </w:endnote>
  <w:endnote w:type="continuationSeparator" w:id="0">
    <w:p w14:paraId="6BA957DA" w14:textId="77777777" w:rsidR="00000000" w:rsidRDefault="005B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652A5" w14:textId="34E830E5" w:rsidR="00240C0E" w:rsidRDefault="005B4FAC">
    <w:pPr>
      <w:jc w:val="right"/>
    </w:pPr>
    <w:r>
      <w:fldChar w:fldCharType="begin"/>
    </w:r>
    <w:r>
      <w:instrText>PAGE</w:instrText>
    </w:r>
    <w:r w:rsidR="00F1401E">
      <w:fldChar w:fldCharType="separate"/>
    </w:r>
    <w:r w:rsidR="00F1401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381D" w14:textId="77777777" w:rsidR="00240C0E" w:rsidRDefault="005B4FAC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 w:rsidR="00F1401E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F1401E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AC196" w14:textId="77777777" w:rsidR="00000000" w:rsidRDefault="005B4FAC">
      <w:pPr>
        <w:spacing w:after="0" w:line="240" w:lineRule="auto"/>
      </w:pPr>
      <w:r>
        <w:separator/>
      </w:r>
    </w:p>
  </w:footnote>
  <w:footnote w:type="continuationSeparator" w:id="0">
    <w:p w14:paraId="107B0446" w14:textId="77777777" w:rsidR="00000000" w:rsidRDefault="005B4FAC">
      <w:pPr>
        <w:spacing w:after="0" w:line="240" w:lineRule="auto"/>
      </w:pPr>
      <w:r>
        <w:continuationSeparator/>
      </w:r>
    </w:p>
  </w:footnote>
  <w:footnote w:id="1">
    <w:p w14:paraId="07B6E918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Комменсальная флора - исторически сложившаяся совокупность видов микроорганизмов, населяющие кожные покровы и слизистые оболочки человека.</w:t>
      </w:r>
    </w:p>
  </w:footnote>
  <w:footnote w:id="2">
    <w:p w14:paraId="0F19007C" w14:textId="77777777" w:rsidR="00240C0E" w:rsidRDefault="005B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Метициллинрезистентные Stap</w:t>
      </w:r>
      <w:r>
        <w:rPr>
          <w:rFonts w:ascii="Times New Roman" w:eastAsia="Times New Roman" w:hAnsi="Times New Roman" w:cs="Times New Roman"/>
          <w:sz w:val="20"/>
          <w:szCs w:val="20"/>
        </w:rPr>
        <w:t>hylococcus aureus</w:t>
      </w:r>
    </w:p>
  </w:footnote>
  <w:footnote w:id="3">
    <w:p w14:paraId="4D344274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Патогенными микроорганизмами называются паразитирующие микроорганизмы  по отношению к их хозяину.</w:t>
      </w:r>
    </w:p>
  </w:footnote>
  <w:footnote w:id="4">
    <w:p w14:paraId="68E638D3" w14:textId="77777777" w:rsidR="00240C0E" w:rsidRDefault="005B4FAC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Комменсализм — способ совместного существования двух разных видов живых организмов, при котором один из партнёров этой системы возлагает на другого регуляц</w:t>
      </w:r>
      <w:r>
        <w:rPr>
          <w:rFonts w:ascii="Times New Roman" w:eastAsia="Times New Roman" w:hAnsi="Times New Roman" w:cs="Times New Roman"/>
        </w:rPr>
        <w:t>ию своих отношений с внешней средой, но не вступает с ним в тесные взаимоотношения.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45C9"/>
    <w:multiLevelType w:val="multilevel"/>
    <w:tmpl w:val="FF9A6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5301D0"/>
    <w:multiLevelType w:val="multilevel"/>
    <w:tmpl w:val="9436586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12A467D"/>
    <w:multiLevelType w:val="multilevel"/>
    <w:tmpl w:val="E3749A6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A254A8"/>
    <w:multiLevelType w:val="multilevel"/>
    <w:tmpl w:val="D6AE77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9277BD"/>
    <w:multiLevelType w:val="multilevel"/>
    <w:tmpl w:val="D2FA5A1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874424"/>
    <w:multiLevelType w:val="multilevel"/>
    <w:tmpl w:val="C974FDF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2B7843"/>
    <w:multiLevelType w:val="multilevel"/>
    <w:tmpl w:val="D96A3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41008AE"/>
    <w:multiLevelType w:val="multilevel"/>
    <w:tmpl w:val="46C6759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5261707"/>
    <w:multiLevelType w:val="multilevel"/>
    <w:tmpl w:val="5E1019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C0E"/>
    <w:rsid w:val="00240C0E"/>
    <w:rsid w:val="003D48B9"/>
    <w:rsid w:val="00500255"/>
    <w:rsid w:val="005B4FAC"/>
    <w:rsid w:val="00613841"/>
    <w:rsid w:val="006D1A45"/>
    <w:rsid w:val="007E7BB6"/>
    <w:rsid w:val="00A1310D"/>
    <w:rsid w:val="00ED3A1E"/>
    <w:rsid w:val="00F1401E"/>
    <w:rsid w:val="00F2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D4934"/>
  <w15:docId w15:val="{06F4524F-ABA2-483A-B085-5C84DE8C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irogov-center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3698</Words>
  <Characters>21081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Светлана Гюнгюр</cp:lastModifiedBy>
  <cp:revision>9</cp:revision>
  <dcterms:created xsi:type="dcterms:W3CDTF">2021-02-10T20:12:00Z</dcterms:created>
  <dcterms:modified xsi:type="dcterms:W3CDTF">2021-02-10T20:26:00Z</dcterms:modified>
</cp:coreProperties>
</file>