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183E60" w:rsidP="1F183E60" w:rsidRDefault="1F183E60" w14:paraId="6FF461DA" w14:textId="15E8B360">
      <w:pPr>
        <w:rPr>
          <w:rFonts w:ascii="Times New Roman" w:hAnsi="Times New Roman" w:eastAsia="Times New Roman" w:cs="Times New Roman"/>
          <w:sz w:val="24"/>
          <w:szCs w:val="24"/>
        </w:rPr>
      </w:pPr>
      <w:r w:rsidRPr="1F183E60" w:rsidR="1F183E60">
        <w:rPr>
          <w:rFonts w:ascii="Times New Roman" w:hAnsi="Times New Roman" w:eastAsia="Times New Roman" w:cs="Times New Roman"/>
          <w:sz w:val="24"/>
          <w:szCs w:val="24"/>
          <w:highlight w:val="yellow"/>
        </w:rPr>
        <w:t>Глава I</w:t>
      </w: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>: Становление японского фашизма.</w:t>
      </w:r>
    </w:p>
    <w:p w:rsidR="1F183E60" w:rsidP="1F183E60" w:rsidRDefault="1F183E60" w14:paraId="1549D2F6" w14:textId="237F0B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 xml:space="preserve">Параграф I: </w:t>
      </w: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>Итоги ПМВ для Японии.</w:t>
      </w: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1F183E60" w:rsidP="1F183E60" w:rsidRDefault="1F183E60" w14:paraId="52641B50" w14:textId="1179C8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 xml:space="preserve">Параграф II: </w:t>
      </w: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>Политическая обстановка в 20-30 годы</w:t>
      </w: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>, становление японского милитаризма.</w:t>
      </w:r>
    </w:p>
    <w:p w:rsidR="1F183E60" w:rsidP="1F183E60" w:rsidRDefault="1F183E60" w14:paraId="798BE542" w14:textId="271A3B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>Параграф III: Экспансия Японии. Настроения в обществе в 30-40 годы</w:t>
      </w: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1F183E60" w:rsidP="1F183E60" w:rsidRDefault="1F183E60" w14:paraId="678F9834" w14:textId="5A84C2FB">
      <w:pPr>
        <w:pStyle w:val="Normal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>Цели главы: 1. Показать, как Япония повлияла на рост мировой напряженности.</w:t>
      </w:r>
    </w:p>
    <w:p w:rsidR="1F183E60" w:rsidP="1F183E60" w:rsidRDefault="1F183E60" w14:paraId="54AFCA38" w14:textId="28F79F3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2. Проанализировать причины возникновения идеологии</w:t>
      </w: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</w:t>
      </w: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>государственного</w:t>
      </w: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F183E60" w:rsidR="1F183E60">
        <w:rPr>
          <w:rFonts w:ascii="Times New Roman" w:hAnsi="Times New Roman" w:eastAsia="Times New Roman" w:cs="Times New Roman"/>
          <w:sz w:val="24"/>
          <w:szCs w:val="24"/>
        </w:rPr>
        <w:t>национализма.</w:t>
      </w:r>
    </w:p>
    <w:p w:rsidR="1F183E60" w:rsidP="1F183E60" w:rsidRDefault="1F183E60" w14:paraId="77907108" w14:textId="3395327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F183E60" w:rsidR="1F183E60">
        <w:rPr>
          <w:rFonts w:ascii="Times New Roman" w:hAnsi="Times New Roman" w:eastAsia="Times New Roman" w:cs="Times New Roman"/>
          <w:sz w:val="24"/>
          <w:szCs w:val="24"/>
          <w:highlight w:val="yellow"/>
        </w:rPr>
        <w:t>Параграф I.</w:t>
      </w:r>
    </w:p>
    <w:p w:rsidR="1F183E60" w:rsidP="1F183E60" w:rsidRDefault="1F183E60" w14:paraId="2568360E" w14:textId="2A4C04B6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Первая мировая война оказала сильное влияние на формирование японской экономики: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война положительно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сказалась на развитии крупнейших концернов, обогатившихся за время военных действий: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Мицуи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, Мицубиси,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Ясуд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. Однако резко ухудшилось положение рабочих и крестьян, недовольных ростом цен и увеличением налогов.</w:t>
      </w:r>
    </w:p>
    <w:p w:rsidR="1F183E60" w:rsidP="1F183E60" w:rsidRDefault="1F183E60" w14:paraId="4ACC38B3" w14:textId="3FCDB2A6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Но в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ноябре 1921 г. была созвана Вашингтонская конференция.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Версальско-Вашингтонская система, по мнению многих экспертов, заложила основу будущих конфликтов и претензий.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Зорге писал: “С точки зрения мировой политики Вашингтонская конференция находится в центре внимания”. Важнейший вопрос, рассмотренный на этой конференции - о политике в отношении Китая. Согласно решениям конференции, в Китае вводился принцип “открытых дверей и равных возможностей”. На этой конференции они Штаты намеревались не только установить принцип “открытых дверей” в Китае, но и помешать распространению японского влияния на Сибирь, которое могло бы создать угрозу американским интересам. Это подрывало старую систему “сфер влияния”, и означало ослабление позиций Японии, так как ее политика основывается именно на принципе “особых интересов”. Договор ограничивал расширение сфер влияния Японии на Маньчжурию и Монголию, что и создавало основу для японо-американских противоречий.</w:t>
      </w:r>
    </w:p>
    <w:p w:rsidR="1F183E60" w:rsidP="1F183E60" w:rsidRDefault="1F183E60" w14:paraId="5FAC8706" w14:textId="78A7A218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Также, по итогам этой конференции, Япония должна была отказаться от членства в Антанте. Штаты добились замены англо-японского союза соглашением четырех держав “о неприкосновенности владений в Тихом океане”. На Вашингтонской конференции был заключен пакт об ограничении военно-морских флотов, по которому строительство крупных морских судов было прекращено в течение 10 лет. Япония была вынуждена согласиться на такие условия.</w:t>
      </w:r>
    </w:p>
    <w:p w:rsidR="1F183E60" w:rsidP="1F183E60" w:rsidRDefault="1F183E60" w14:paraId="3FDC3D42" w14:textId="2D10F3B7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На Вашингтонской конференции было принято решение о возвращении Китаю </w:t>
      </w:r>
      <w:proofErr w:type="gram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провинций</w:t>
      </w:r>
      <w:proofErr w:type="gram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на которые претендовала Япония. Однако Япония сохранила значительные привилегии и политическое влияние в этих регионах. В результате давления со стороны Штатов, Япония оказалась фактически изолированной, поскольку Англия не оказала Японии никакой поддержки. Все это поменяло расстановку сил на Дальнем Востоке и сказалось на социально-политической ситуации в самой стране.</w:t>
      </w:r>
    </w:p>
    <w:p w:rsidR="1F183E60" w:rsidP="1F183E60" w:rsidRDefault="1F183E60" w14:paraId="7978424B" w14:textId="3844D80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F183E60" w:rsidP="1F183E60" w:rsidRDefault="1F183E60" w14:paraId="7AFA5011" w14:textId="248962A6">
      <w:pPr>
        <w:pStyle w:val="Normal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</w:p>
    <w:p w:rsidR="1F183E60" w:rsidP="1F183E60" w:rsidRDefault="1F183E60" w14:paraId="0AA4714B" w14:textId="0F7B5EC9">
      <w:pPr>
        <w:pStyle w:val="Normal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1F183E60" w:rsidR="1F183E60">
        <w:rPr>
          <w:rFonts w:ascii="Times New Roman" w:hAnsi="Times New Roman" w:eastAsia="Times New Roman" w:cs="Times New Roman"/>
          <w:sz w:val="24"/>
          <w:szCs w:val="24"/>
          <w:highlight w:val="yellow"/>
        </w:rPr>
        <w:t>Параграф II.</w:t>
      </w:r>
    </w:p>
    <w:p w:rsidR="1F183E60" w:rsidP="1F183E60" w:rsidRDefault="1F183E60" w14:paraId="281DEAEE" w14:textId="1DABC6A1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1920-30-х года характеризуются для Японии тем, что в это время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как в обществе, так и в армии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шла ожесточенная политическая борьба, которая в  Главной причиной этой борьбы было стремление наиболее радикальных слоев японского общества сформировать в стране “новый порядок”, некую новую силу. В 1927 году происходит смена кабинета. Премьер-министром назначается генерал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Танака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– лидер агрессивных, крайне правых кругов, что критиковали политику кабинета Конституционной Партии, которую возглавлял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Такааки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Като. Они обвиняли партию Като в слабости, поскольку та слепо следовала Вашингтонской конференции.</w:t>
      </w:r>
    </w:p>
    <w:p w:rsidR="1F183E60" w:rsidP="1F183E60" w:rsidRDefault="1F183E60" w14:paraId="47BA3AE9" w14:textId="792B7AEA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25 июля 1927 г.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Танака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в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своем меморандуме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заявляет: “В интересах самозащиты и ради защиты других Япония не сможет устранить затруднения в Восточной Азии, если не будет проводить политику “крови и железа”. Но, проводя эту политику, мы окажемся лицом к лицу с Америкой, которая натравляет на нас Китай… Если мы в будущем захотим захватить в свои руки контроль над Китаем, мы должны будем сокрушить Соединенные Штаты, но для того, чтобы завоевать Китай, мы должны сначала завоевать Маньчжурию и Монголию. Для того, чтобы завоевать мир, мы должны завоевать Китай, все остальные малоазиатские страны; Индия, а </w:t>
      </w:r>
      <w:proofErr w:type="gram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так же</w:t>
      </w:r>
      <w:proofErr w:type="gram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страны Южных морей будут нас бояться и капитулируют перед нами”. </w:t>
      </w:r>
    </w:p>
    <w:p w:rsidR="1F183E60" w:rsidP="1F183E60" w:rsidRDefault="1F183E60" w14:paraId="43BC6CA0" w14:textId="2B8EB0F6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По этому поводу высказался дипломат Т.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Сигенори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: “Я так же пришел к выводу, </w:t>
      </w:r>
      <w:proofErr w:type="gram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что в то время как</w:t>
      </w:r>
      <w:proofErr w:type="gram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Китай может существовать без Японии, Япония без Китая существовать не может. В тесной связи с этим высказыванием находятся два вывода: первый – “идея жизненного пространства для Японии, второй – идея сосуществования и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сопроцветания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”.</w:t>
      </w:r>
    </w:p>
    <w:p w:rsidR="1F183E60" w:rsidP="1F183E60" w:rsidRDefault="1F183E60" w14:paraId="355319A5" w14:textId="6A9521CC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27 июня 1927 года состоялась восточная конференция, сосредоточенная на выработке политики в отношении Китая. В ней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участвовали руководители японского министерства иностранных дел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и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дипломаты, аккредитованные в Китае.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Дискуссия о китайской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была вызвана не только целями экономической и территориальной экспансии, но и стремлением подавить расширение сфер влияния других стран на весь </w:t>
      </w:r>
      <w:proofErr w:type="gram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восточно-азиатский</w:t>
      </w:r>
      <w:proofErr w:type="gram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регион.</w:t>
      </w:r>
    </w:p>
    <w:p w:rsidR="1F183E60" w:rsidP="1F183E60" w:rsidRDefault="1F183E60" w14:paraId="3CA07C1D" w14:textId="36EF29B6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Итогом этой конференции было принятие “Политическая программа в отношении Китая”, суть которой заключалась в том, что Маньчжурия и Монголия объявлялись “предметом особой заботы Японии”. Таким образом, неизбежность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манчжурского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инцидента была подтверждена.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Также шла критика партий, связанных со старыми концернами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Мицуи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, Мицубиси,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Ясуда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, поскольку “новые концерны”, лояльные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Танаке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, имели слабую финансовую базу и находились в зависимости от старой финансовой олигархии. Между ними велась конкурентная борьба, особенно обостряющаяся в годы мирового экономического кризиса 1929-1933 гг. </w:t>
      </w:r>
    </w:p>
    <w:p w:rsidR="1F183E60" w:rsidP="1F183E60" w:rsidRDefault="1F183E60" w14:paraId="6A6FD36D" w14:textId="391CD695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В составе офицерского корпуса в армии к 1930 году тоже произошли значительные изменения. Большинство офицеров были настроены крайне шовинистически. К началу 30-х годов в армии и на флоте возник термин “молодое офицерство”, означавший появление офицерского корпуса “нового направления”. Они считали, что политика государства была недостаточно решительной.</w:t>
      </w:r>
    </w:p>
    <w:p w:rsidR="1F183E60" w:rsidP="1F183E60" w:rsidRDefault="1F183E60" w14:paraId="32C4821B" w14:textId="1492CC62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1F183E60" w:rsidP="1F183E60" w:rsidRDefault="1F183E60" w14:paraId="27BB6F4E" w14:textId="13924B2E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Е. М. Жуков в работе “Японский милитаризм” подробно рассмотрел процесс становления “новой силы”. “Молодое офицерство”, связанное с “новыми концернами”, открыто выражало недовольство как внутренней политикой, так и внешней политикой партийных кабинетов. “Молодое офицерство” подчеркивало свою преданность императору, требовало ограничение активности основной четверки “старых” концернов, выступало против парламента. “Молодое офицерство” поддерживало “группу Сага”, поднимая её авторитет в армии. В выступлениях пред военными, а также в военной печати об офицерском корпусе руководители группы говорили и писали только в высоких тонах.</w:t>
      </w:r>
    </w:p>
    <w:p w:rsidR="1F183E60" w:rsidP="1F183E60" w:rsidRDefault="1F183E60" w14:paraId="187734D9" w14:textId="250E3C14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444444"/>
          <w:sz w:val="24"/>
          <w:szCs w:val="24"/>
          <w:lang w:val="ru-RU"/>
        </w:rPr>
        <w:t xml:space="preserve">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15 мая 1932 г. офицеры армии и флота организовывают фашистский путч, совершая нападения на МВД и ряд банков. В ходе этого путча был смертельно ранен премьер-министр. </w:t>
      </w:r>
      <w:proofErr w:type="gram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Но</w:t>
      </w:r>
      <w:proofErr w:type="gram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а после этого путча в обществе возрастают военные настроения. Под их давлением создается надпартийных кабинет.</w:t>
      </w:r>
    </w:p>
    <w:p w:rsidR="1F183E60" w:rsidP="1F183E60" w:rsidRDefault="1F183E60" w14:paraId="525A332C" w14:textId="0729A0DE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Таким образом, с этого времени и до капитуляции Японии в 1945 г. кабинеты министров, формировавшихся </w:t>
      </w:r>
      <w:proofErr w:type="gram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на партийной основе</w:t>
      </w:r>
      <w:proofErr w:type="gram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были упразднены, что сделало огромный шаг на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пути к новой политической структуре.</w:t>
      </w:r>
    </w:p>
    <w:p w:rsidR="1F183E60" w:rsidP="1F183E60" w:rsidRDefault="1F183E60" w14:paraId="44A0300C" w14:textId="36507A40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Программа военных кругов к началу 30-х годов состояла из двух основных пунктов: </w:t>
      </w:r>
    </w:p>
    <w:p w:rsidR="1F183E60" w:rsidP="1F183E60" w:rsidRDefault="1F183E60" w14:paraId="23F5E4BB" w14:textId="2C8DC77C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1. Активизация захватнической политики Японии на континенте и война против СССР; </w:t>
      </w:r>
    </w:p>
    <w:p w:rsidR="1F183E60" w:rsidP="1F183E60" w:rsidRDefault="1F183E60" w14:paraId="16DCC2F5" w14:textId="32BA535C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2. Мобилизация всех экономических ресурсов страны для более интенсивной подготовки войны, для создания великой империи в Азии.</w:t>
      </w:r>
    </w:p>
    <w:p w:rsidR="1F183E60" w:rsidP="1F183E60" w:rsidRDefault="1F183E60" w14:paraId="3C612451" w14:textId="63CBB9C1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Итак, в Японии велась активная экономическая и идеологическая подготовка, переросшая затем и в национальную идею.</w:t>
      </w:r>
    </w:p>
    <w:p w:rsidR="1F183E60" w:rsidP="1F183E60" w:rsidRDefault="1F183E60" w14:paraId="7AD37ADF" w14:textId="61FABE1E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1F183E60" w:rsidP="1F183E60" w:rsidRDefault="1F183E60" w14:paraId="294592AE" w14:textId="71968080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77AD8561" w14:textId="1DC6B15F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0BD627FA" w14:textId="4CED7C00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5DA1BEDD" w14:textId="634F2DBA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29D41F83" w14:textId="61D39B96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64E07B4F" w14:textId="4F2AE407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6A7088A4" w14:textId="180AFCA1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0A4CA7E2" w14:textId="6F646A5E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3B958F34" w14:textId="1F0B89BA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6417B2CD" w14:textId="6D00B3C3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24866F65" w14:textId="0B67E8E3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61BF57BC" w14:textId="4A957B5A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1E579F82" w14:textId="27E9167B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54EE8057" w14:textId="35ED134B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12083A90" w14:textId="3340A57F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  <w:t>Параграф III.</w:t>
      </w:r>
    </w:p>
    <w:p w:rsidR="1F183E60" w:rsidP="1F183E60" w:rsidRDefault="1F183E60" w14:paraId="6A5C4D51" w14:textId="6393130B">
      <w:pPr>
        <w:rPr>
          <w:rFonts w:ascii="Cambria" w:hAnsi="Cambria" w:eastAsia="Cambria" w:cs="Cambria"/>
          <w:b w:val="1"/>
          <w:bCs w:val="1"/>
          <w:i w:val="1"/>
          <w:iCs w:val="1"/>
          <w:noProof w:val="0"/>
          <w:color w:val="70AD47" w:themeColor="accent6" w:themeTint="FF" w:themeShade="FF"/>
          <w:sz w:val="28"/>
          <w:szCs w:val="28"/>
          <w:u w:val="none"/>
          <w:lang w:val="ru-RU"/>
        </w:rPr>
      </w:pPr>
      <w:r w:rsidRPr="1F183E60" w:rsidR="1F183E60">
        <w:rPr>
          <w:rFonts w:ascii="Cambria" w:hAnsi="Cambria" w:eastAsia="Cambria" w:cs="Cambria"/>
          <w:b w:val="1"/>
          <w:bCs w:val="1"/>
          <w:i w:val="1"/>
          <w:iCs w:val="1"/>
          <w:noProof w:val="0"/>
          <w:color w:val="70AD47" w:themeColor="accent6" w:themeTint="FF" w:themeShade="FF"/>
          <w:sz w:val="28"/>
          <w:szCs w:val="28"/>
          <w:u w:val="none"/>
          <w:lang w:val="ru-RU"/>
        </w:rPr>
        <w:t>“Маньчжурия – первая линия государственной обороны Японии”</w:t>
      </w:r>
    </w:p>
    <w:p w:rsidR="1F183E60" w:rsidP="1F183E60" w:rsidRDefault="1F183E60" w14:paraId="52310FF6" w14:textId="641EE503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Японская экспансия принимает большие размеры. </w:t>
      </w:r>
    </w:p>
    <w:p w:rsidR="1F183E60" w:rsidP="1F183E60" w:rsidRDefault="1F183E60" w14:paraId="588D7C3B" w14:textId="3C65629C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Во-первых, с помощью системы таможенного барьера, финансового контроля и железнодорожных концессий, Япония постепенно начинает концентрировать в своих руках основные экономические ресурсы Южной Манчжурии.</w:t>
      </w:r>
      <w:r w:rsidRPr="1F183E60" w:rsidR="1F183E60">
        <w:rPr>
          <w:rFonts w:ascii="Times New Roman" w:hAnsi="Times New Roman" w:eastAsia="Times New Roman" w:cs="Times New Roman"/>
          <w:noProof w:val="0"/>
          <w:color w:val="444444"/>
          <w:sz w:val="21"/>
          <w:szCs w:val="21"/>
          <w:lang w:val="ru-RU"/>
        </w:rPr>
        <w:t xml:space="preserve">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Япония бесконтрольно расширяла свои концессионные права в Манчжурии, однако с 1925 г. китайское правительство (при поддержке США) попыталось противодействовать Японии.</w:t>
      </w:r>
    </w:p>
    <w:p w:rsidR="1F183E60" w:rsidP="1F183E60" w:rsidRDefault="1F183E60" w14:paraId="5F5D8C14" w14:textId="21EE43B7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Забавно, что во время подготовки к войне с Россией в 90-х годах, японцы доказывали, что Маньчжурия – неотъемлемая часть Китая; теперь же наоборот Манчжурия – ни исторически, ни этнографически не имеет ничего общего с Китаем.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Танака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заявлял в меморандуме, что “Монголия и Маньчжурия никогда не были китайской территорией.” В отношении Манчжурии провозглашается путь “мирного проникновения” при помощи японских отставных офицеров, которые возьмут в свои руки контроль”</w:t>
      </w:r>
    </w:p>
    <w:p w:rsidR="1F183E60" w:rsidP="1F183E60" w:rsidRDefault="1F183E60" w14:paraId="6F933DAA" w14:textId="1EDBEA82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Во-вторых, японские претензии на господство обосновывались паназиатской доктриной. “Азия для азиатов” пропагандировалось всей прессой и другими органами средств массовой информации, прямо как расовая теория в Третьем Рейхе. К тому же эта идея распространялась путем введения в школе и в вузах такого предмета как геополитика. В Японии была распространена карта “Соседи Японии” из пяти кругов: в центре – Токио, первый круг – сама Япония; второй – острова в Тихом океане, Корея, Маньчжурия и Внутренняя Монголия, третий – Северный Китай и часть Сибири; четвертый – Индо-Китай, Гавайские острова, Борнео; пятые – Австралия, западные берега Канады, США.</w:t>
      </w:r>
    </w:p>
    <w:p w:rsidR="1F183E60" w:rsidP="1F183E60" w:rsidRDefault="1F183E60" w14:paraId="5939A0EB" w14:textId="7E259140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Японская дипломатия рассчитывала, что мировой экономический кризис и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то, что в Европе царила атмосфера пацифистских деклараций и конференций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помешает Западу вмешаться в дальневосточные дела.</w:t>
      </w:r>
    </w:p>
    <w:p w:rsidR="1F183E60" w:rsidP="1F183E60" w:rsidRDefault="1F183E60" w14:paraId="582CB35E" w14:textId="6A475D00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Положение в Китае все сильнее обострялось: росло национально-освободительное движение, которое распространялось на Маньчжурию. Принимая все это во внимание, японские военные склонялись к “молниеносной” оккупации Манчжурии, чтобы поставить Америку и Англию уже перед фактом.</w:t>
      </w:r>
    </w:p>
    <w:p w:rsidR="1F183E60" w:rsidP="1F183E60" w:rsidRDefault="1F183E60" w14:paraId="77D1961C" w14:textId="3B1A23E9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Для этого Япония усилила работу своей дипломатии по созданию агентурной сети в Маньчжурии,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Бейпине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, Нанкине, Шанхае, Кантоне и других центрах Китая. Дипломатическим прикрытием истинных целей Японии была компания “против красной опасности”, то есть против СССР, который, якобы, угрожал подчинить Китай своему влиянию.</w:t>
      </w:r>
    </w:p>
    <w:p w:rsidR="1F183E60" w:rsidP="1F183E60" w:rsidRDefault="1F183E60" w14:paraId="72655252" w14:textId="1743B1EF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Итак, в политической системе Японии произошли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обштрные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изменения: появились новые политические силы, укрепились позиции армии в стране, росли реваншистские настроения, которые и положат начало национальной идее превосходства японской нации. Кроме того, начались первые контакты с нацистской Германией.</w:t>
      </w:r>
    </w:p>
    <w:p w:rsidR="1F183E60" w:rsidP="1F183E60" w:rsidRDefault="1F183E60" w14:paraId="3A8F4A5A" w14:textId="785C6368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</w:p>
    <w:p w:rsidR="1F183E60" w:rsidP="1F183E60" w:rsidRDefault="1F183E60" w14:paraId="735867A2" w14:textId="3F92BD26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444444"/>
          <w:sz w:val="24"/>
          <w:szCs w:val="24"/>
          <w:lang w:val="ru-RU"/>
        </w:rPr>
        <w:t xml:space="preserve"> </w:t>
      </w: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В 1936 году Япония снова нарушает положения Вашингтонской Конференции. Она официально завила о своем нежелании следовать договорам, что еще больше обострило ее отношения с Англией и США.</w:t>
      </w:r>
    </w:p>
    <w:p w:rsidR="1F183E60" w:rsidP="1F183E60" w:rsidRDefault="1F183E60" w14:paraId="673A1116" w14:textId="1F135642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Устав от бесконечных внешнеполитических игр действующего правительства, фашистски настроенные политики предприняли попытку переворота — фашистский путч 1936 года. В итоге, к власти пришел Коки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Хирота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, что стало дальнейшим шагом на пути фашизации Японии. На внешнеполитическом уровне это привело к эскалации японской агрессии. Дальнейшее развитие страны по этому направлению осуществлялось под руководством первого министра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Фумиро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Коноэ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, тесно связанного с военно-фашистскими кругами, и с крупными капиталистами. Именно его правительству принадлежит инициатива начала войны с Китаем.</w:t>
      </w:r>
    </w:p>
    <w:p w:rsidR="1F183E60" w:rsidP="1F183E60" w:rsidRDefault="1F183E60" w14:paraId="1B81193F" w14:textId="61B7DD8D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Планы наступления на Китай Япония готовила очень давно. Японцы, веря в свой быстрый успех, были неприятно удивлены, когда сопротивление китайских военных обусловило затяжной характер войны.</w:t>
      </w:r>
    </w:p>
    <w:p w:rsidR="1F183E60" w:rsidP="1F183E60" w:rsidRDefault="1F183E60" w14:paraId="361F5986" w14:textId="76E2F33A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С началом войны вся экономика страны была переведена на обслуживание военных нужд, затем принят бы закон «О всеобщей мобилизации нации», предусматривающий право правительства на тотальный контроль всех сфер экономики, в том числе транспорт и торговлю. Поскольку кабинет министров тесно связан с крупными японскими фирмами, положение закона означает, что контроль над экономикой переходит в руки монополистов. Была значительно увеличена доля военных расходов: до 70–80 % от общегосударственного бюджета. Резко ухудшилось положение рабочих: заработная плата уменьшилась, а рабочий день увеличился до 14 часов. Японское правительство воспользовалось создавшимся положением и попавшим в их руки контролем над ситуацией в стране и начало расправу над всеми инакомыслящими и оппозиционными силами, распространенными в народе. Были распущены коммунистические партии, многие члены которых были арестованы. Это привело к тому, что Япония, захватив значительное количество китайских территорий, заявила о своем господстве над всем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Китаем.Однако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реальная война затягивалась: правительство было вынуждено уйти в отставку. В 1939 году на смену ему пришло еще более агрессивно настроенное и фашизированное правительство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Киитиро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Хира-нума</w:t>
      </w:r>
      <w:proofErr w:type="spellEnd"/>
      <w:r w:rsidRPr="1F183E60" w:rsidR="1F183E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. Япония пошла по пути дальнейшего обострения отношений с западными державами.</w:t>
      </w:r>
    </w:p>
    <w:p w:rsidR="1F183E60" w:rsidP="1F183E60" w:rsidRDefault="1F183E60" w14:paraId="63B526B5" w14:textId="67408182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5ce34-ba5e-4d26-9921-e597b0e0fd5d}"/>
  <w14:docId w14:val="607319DE"/>
  <w:rsids>
    <w:rsidRoot w:val="607319DE"/>
    <w:rsid w:val="1F183E60"/>
    <w:rsid w:val="607319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fea7c781fe4941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2019-12-01T13:44:13.1712542Z</dcterms:created>
  <dcterms:modified xsi:type="dcterms:W3CDTF">2019-12-01T18:29:42.2340865Z</dcterms:modified>
  <dc:creator>verner.andrei13</dc:creator>
  <lastModifiedBy>verner.andrei13</lastModifiedBy>
</coreProperties>
</file>