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50" w:rsidRPr="00304750" w:rsidRDefault="00304750" w:rsidP="00637D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04750" w:rsidRPr="00304750" w:rsidRDefault="00304750" w:rsidP="00637D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</w:t>
      </w:r>
      <w:r w:rsidR="00637D80" w:rsidRPr="00637D80">
        <w:rPr>
          <w:rFonts w:ascii="Times New Roman" w:hAnsi="Times New Roman" w:cs="Times New Roman"/>
          <w:sz w:val="28"/>
          <w:szCs w:val="28"/>
        </w:rPr>
        <w:t>ГБОУ школа № 1505 Преображенская</w:t>
      </w:r>
    </w:p>
    <w:p w:rsidR="00304750" w:rsidRPr="00637D80" w:rsidRDefault="00637D80" w:rsidP="00637D8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37D80">
        <w:rPr>
          <w:rFonts w:ascii="Times New Roman" w:hAnsi="Times New Roman" w:cs="Times New Roman"/>
          <w:b/>
          <w:sz w:val="36"/>
          <w:szCs w:val="28"/>
        </w:rPr>
        <w:t>РЕФЕРАТ</w:t>
      </w:r>
    </w:p>
    <w:p w:rsidR="00304750" w:rsidRPr="00637D80" w:rsidRDefault="00304750" w:rsidP="00637D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80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304750" w:rsidRPr="00637D80" w:rsidRDefault="00723520" w:rsidP="00637D8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Творчество Исаака Бродского в период 20-30 годов</w:t>
      </w:r>
    </w:p>
    <w:p w:rsidR="00637D80" w:rsidRDefault="00304750" w:rsidP="00637D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Выполнил (а):</w:t>
      </w:r>
    </w:p>
    <w:p w:rsidR="00304750" w:rsidRPr="00304750" w:rsidRDefault="00723520" w:rsidP="00637D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Непорожняя Мария Владимировна</w:t>
      </w:r>
    </w:p>
    <w:p w:rsidR="00637D80" w:rsidRDefault="00637D80" w:rsidP="00637D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D80" w:rsidRDefault="00304750" w:rsidP="00637D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04750" w:rsidRPr="00304750" w:rsidRDefault="00723520" w:rsidP="00637D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Мазаев Петр Алексеевич</w:t>
      </w:r>
    </w:p>
    <w:p w:rsidR="00304750" w:rsidRPr="00304750" w:rsidRDefault="00304750" w:rsidP="00637D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637D80" w:rsidRDefault="00637D80" w:rsidP="00637D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750" w:rsidRPr="00304750" w:rsidRDefault="00304750" w:rsidP="00637D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Рецензент:</w:t>
      </w:r>
    </w:p>
    <w:p w:rsidR="00304750" w:rsidRPr="00304750" w:rsidRDefault="00723520" w:rsidP="00637D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Гутлин Михаил Наумович</w:t>
      </w:r>
      <w:r w:rsidR="00304750" w:rsidRPr="00304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50" w:rsidRPr="00637D80" w:rsidRDefault="00304750" w:rsidP="00637D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D80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304750" w:rsidRPr="00637D80" w:rsidRDefault="00304750" w:rsidP="00637D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750" w:rsidRPr="00637D80" w:rsidRDefault="00304750" w:rsidP="00637D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80">
        <w:rPr>
          <w:rFonts w:ascii="Times New Roman" w:hAnsi="Times New Roman" w:cs="Times New Roman"/>
          <w:sz w:val="28"/>
          <w:szCs w:val="28"/>
        </w:rPr>
        <w:t>Москва</w:t>
      </w:r>
    </w:p>
    <w:p w:rsidR="00304750" w:rsidRPr="00637D80" w:rsidRDefault="00304750" w:rsidP="00E10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80" w:rsidRPr="00637D80" w:rsidRDefault="00637D80" w:rsidP="00E10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2017/2018</w:t>
      </w:r>
      <w:r w:rsidR="00304750" w:rsidRPr="00637D80">
        <w:rPr>
          <w:rFonts w:ascii="Times New Roman" w:hAnsi="Times New Roman" w:cs="Times New Roman"/>
          <w:sz w:val="28"/>
          <w:szCs w:val="28"/>
        </w:rPr>
        <w:t xml:space="preserve"> уч.г.</w:t>
      </w:r>
    </w:p>
    <w:p w:rsidR="005020ED" w:rsidRPr="00BF737F" w:rsidRDefault="005020ED" w:rsidP="00E10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09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416"/>
        <w:gridCol w:w="528"/>
      </w:tblGrid>
      <w:tr w:rsidR="000F0F05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ind w:right="19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ОГЛАВЛЕ</w:t>
            </w:r>
            <w:r w:rsidRPr="00355E7B">
              <w:rPr>
                <w:sz w:val="28"/>
                <w:szCs w:val="28"/>
              </w:rPr>
              <w:t>НИЕ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rPr>
                <w:sz w:val="28"/>
                <w:szCs w:val="28"/>
              </w:rPr>
            </w:pPr>
          </w:p>
        </w:tc>
      </w:tr>
      <w:tr w:rsidR="000F0F05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Введение…</w:t>
            </w:r>
            <w:r>
              <w:rPr>
                <w:sz w:val="28"/>
                <w:szCs w:val="28"/>
              </w:rPr>
              <w:t>………………………………………</w:t>
            </w:r>
            <w:r w:rsidR="00AD058D">
              <w:rPr>
                <w:sz w:val="28"/>
                <w:szCs w:val="28"/>
              </w:rPr>
              <w:t>……..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3</w:t>
            </w:r>
          </w:p>
        </w:tc>
      </w:tr>
      <w:tr w:rsidR="000F0F05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AD058D" w:rsidP="007A594C">
            <w:pPr>
              <w:pStyle w:val="af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</w:t>
            </w:r>
            <w:r w:rsidR="000F0F05" w:rsidRPr="00355E7B">
              <w:rPr>
                <w:sz w:val="28"/>
                <w:szCs w:val="28"/>
              </w:rPr>
              <w:t>…………</w:t>
            </w:r>
            <w:r w:rsidR="000F0F05">
              <w:rPr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E91D35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0F05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AD058D" w:rsidP="00AD058D">
            <w:pPr>
              <w:pStyle w:val="af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0F05" w:rsidRPr="00355E7B">
              <w:rPr>
                <w:sz w:val="28"/>
                <w:szCs w:val="28"/>
              </w:rPr>
              <w:t xml:space="preserve">.1 </w:t>
            </w:r>
            <w:r>
              <w:rPr>
                <w:sz w:val="28"/>
                <w:szCs w:val="28"/>
              </w:rPr>
              <w:t>Культурная революция</w:t>
            </w:r>
            <w:r w:rsidR="000F0F05" w:rsidRPr="00355E7B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0F05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AD058D" w:rsidP="007A594C">
            <w:pPr>
              <w:pStyle w:val="af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>
              <w:t xml:space="preserve"> </w:t>
            </w:r>
            <w:r w:rsidRPr="00AD058D">
              <w:rPr>
                <w:sz w:val="28"/>
                <w:szCs w:val="28"/>
              </w:rPr>
              <w:t>Основные направления русско</w:t>
            </w:r>
            <w:r>
              <w:rPr>
                <w:sz w:val="28"/>
                <w:szCs w:val="28"/>
              </w:rPr>
              <w:t>го искусства периода 20-х годов</w:t>
            </w:r>
            <w:r w:rsidR="000F0F05" w:rsidRPr="00355E7B">
              <w:rPr>
                <w:sz w:val="28"/>
                <w:szCs w:val="28"/>
              </w:rPr>
              <w:t>…</w:t>
            </w:r>
            <w:r w:rsidR="000F0F05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7</w:t>
            </w:r>
          </w:p>
        </w:tc>
      </w:tr>
      <w:tr w:rsidR="00AD058D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AD058D" w:rsidRDefault="00AD058D" w:rsidP="007A594C">
            <w:pPr>
              <w:pStyle w:val="af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058D">
              <w:rPr>
                <w:sz w:val="28"/>
                <w:szCs w:val="28"/>
              </w:rPr>
              <w:t>АХРР</w:t>
            </w:r>
            <w:r>
              <w:rPr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058D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Default="00AD058D" w:rsidP="007A594C">
            <w:pPr>
              <w:pStyle w:val="af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</w:t>
            </w:r>
            <w:r w:rsidRPr="00AD058D">
              <w:rPr>
                <w:sz w:val="28"/>
                <w:szCs w:val="28"/>
              </w:rPr>
              <w:t>Начало творческого пути И.И. Бродского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D058D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Default="00AD058D" w:rsidP="007A594C">
            <w:pPr>
              <w:pStyle w:val="af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2………………………………………………….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D058D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Default="00AD058D" w:rsidP="007A594C">
            <w:pPr>
              <w:pStyle w:val="af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Соцреализм………………………………………...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D058D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Default="00AD058D" w:rsidP="007A594C">
            <w:pPr>
              <w:pStyle w:val="af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>
              <w:t xml:space="preserve"> </w:t>
            </w:r>
            <w:r w:rsidRPr="00AD058D">
              <w:rPr>
                <w:sz w:val="28"/>
                <w:szCs w:val="28"/>
              </w:rPr>
              <w:t>Основные произведения И.И. Бродского</w:t>
            </w:r>
            <w:r>
              <w:rPr>
                <w:sz w:val="28"/>
                <w:szCs w:val="28"/>
              </w:rPr>
              <w:t>………...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D058D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Default="00AD058D" w:rsidP="007A594C">
            <w:pPr>
              <w:pStyle w:val="af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Ученики И.И. Бродского…………………………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D058D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Pr="00355E7B" w:rsidRDefault="00AD058D" w:rsidP="007A594C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Default="00AD058D" w:rsidP="007A594C">
            <w:pPr>
              <w:pStyle w:val="af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Музей И.И. Бродского……………………………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058D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0F05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3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…………………………………….….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F0F05" w:rsidRPr="00355E7B" w:rsidTr="000F0F05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4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0F0F05" w:rsidP="007A594C">
            <w:pPr>
              <w:pStyle w:val="af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Список литератур</w:t>
            </w:r>
            <w:r>
              <w:rPr>
                <w:sz w:val="28"/>
                <w:szCs w:val="28"/>
              </w:rPr>
              <w:t>ных источников………………………………………....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F05" w:rsidRPr="00355E7B" w:rsidRDefault="00AD058D" w:rsidP="007A594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DD422A" w:rsidRPr="00B511D7" w:rsidRDefault="00BF737F" w:rsidP="00D05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3520" w:rsidRDefault="00DD422A" w:rsidP="00C12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2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23520" w:rsidRPr="00723520" w:rsidRDefault="00723520" w:rsidP="00C124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3520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>В советском союзе изобразительное искусство охватило период 1917-1991 годов. На первый план в нем вышло идеологическое содержание, идеология сыграла огромную роль в его развитии. Советское искусство ставило перед собой ряд задач, таких как сохранение патриотизма, борьбы за коммунизм и социализм. Помимо идеологии, немаловажное место занимали такие понятия как многонациональность и народность. Всего советское искусство подразумевало две категории живописцев и творцов. Одни были теми, кто стремился запечатлеть сюжеты привычным изобразительным языком фактологического отображения. Другие же старались включить в свое искусство аллегории, символы, тем самым усложняя восприятие и делая его более образным.</w:t>
      </w:r>
    </w:p>
    <w:p w:rsidR="00723520" w:rsidRPr="00723520" w:rsidRDefault="00723520" w:rsidP="00C12451">
      <w:pPr>
        <w:spacing w:before="450" w:after="30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</w:pPr>
      <w:r w:rsidRPr="00723520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 xml:space="preserve">Наиболее развивающимся методом в то время являлся социалистический реализм - официально поощряемый партийными органами СССР, художественный метод литературы и искусства, построенный на социалистической концепции мира и человека. Одним из самых ярких представителей этого метода стал советский график и живописец Исаак Бродский (1883—1939). Он внес огромный вклад в развитие соцреализма как художественного метода. Он был «правой рукой» советской власти, которая бы не обошлась без такого художника, как он. </w:t>
      </w:r>
      <w:r w:rsidRPr="00723520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 xml:space="preserve">Исаак Бродский </w:t>
      </w:r>
      <w:r w:rsidRPr="00723520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 xml:space="preserve">- заслуженный деятель искусств РСФСР и </w:t>
      </w:r>
      <w:r w:rsidR="00527ED6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>автор обширной изобразительной Л</w:t>
      </w:r>
      <w:r w:rsidRPr="00723520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 xml:space="preserve">енинианы. </w:t>
      </w:r>
    </w:p>
    <w:p w:rsidR="00723520" w:rsidRPr="00723520" w:rsidRDefault="00723520" w:rsidP="00C12451">
      <w:pPr>
        <w:spacing w:line="36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23520">
        <w:rPr>
          <w:rFonts w:ascii="Times New Roman" w:hAnsi="Times New Roman" w:cs="Times New Roman"/>
          <w:sz w:val="28"/>
          <w:szCs w:val="24"/>
          <w:shd w:val="clear" w:color="auto" w:fill="FFFFFF"/>
        </w:rPr>
        <w:t>В своем исследовании я собираюсь сделать общий обзор исследовательской литературы по теме творчества Исаака Бродского 1920-30 годов, и проблемой исследования является то, что данный автор был оставлен без должного внимания и исследований по данной теме.</w:t>
      </w:r>
    </w:p>
    <w:p w:rsidR="00723520" w:rsidRPr="00723520" w:rsidRDefault="00723520" w:rsidP="00C12451">
      <w:pPr>
        <w:spacing w:line="36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2352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Главная цель моего исследования состоит в том, чтобы изучить особенности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творчества </w:t>
      </w:r>
      <w:r w:rsidRPr="00723520">
        <w:rPr>
          <w:rFonts w:ascii="Times New Roman" w:hAnsi="Times New Roman" w:cs="Times New Roman"/>
          <w:sz w:val="28"/>
          <w:szCs w:val="24"/>
          <w:shd w:val="clear" w:color="auto" w:fill="FFFFFF"/>
        </w:rPr>
        <w:t>Бродского в период 1920-30 годов, определить общ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ие идеи и посылы русских художников этого периода</w:t>
      </w:r>
      <w:r w:rsidRPr="0072352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проследить, как развивался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Бродский</w:t>
      </w:r>
      <w:r w:rsidRPr="0072352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 </w:t>
      </w:r>
      <w:r w:rsidRPr="00723520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протяжении этого периода и какое влияние оказало его творчество на советское общество.</w:t>
      </w:r>
    </w:p>
    <w:p w:rsidR="00723520" w:rsidRPr="00723520" w:rsidRDefault="00723520" w:rsidP="00C1245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23520">
        <w:rPr>
          <w:rFonts w:ascii="Times New Roman" w:hAnsi="Times New Roman" w:cs="Times New Roman"/>
          <w:sz w:val="28"/>
          <w:szCs w:val="24"/>
        </w:rPr>
        <w:t>Задачи:</w:t>
      </w:r>
    </w:p>
    <w:p w:rsidR="00723520" w:rsidRPr="00723520" w:rsidRDefault="00723520" w:rsidP="00C12451">
      <w:pPr>
        <w:pStyle w:val="a6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8"/>
          <w:szCs w:val="24"/>
        </w:rPr>
      </w:pPr>
      <w:r w:rsidRPr="00723520">
        <w:rPr>
          <w:rFonts w:ascii="Times New Roman" w:hAnsi="Times New Roman" w:cs="Times New Roman"/>
          <w:sz w:val="28"/>
          <w:szCs w:val="24"/>
        </w:rPr>
        <w:t>Изучить информацию по теме творчество автора выбранного периода, проанализировать источники.</w:t>
      </w:r>
    </w:p>
    <w:p w:rsidR="00723520" w:rsidRPr="00723520" w:rsidRDefault="00723520" w:rsidP="00C12451">
      <w:pPr>
        <w:pStyle w:val="a6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8"/>
          <w:szCs w:val="24"/>
        </w:rPr>
      </w:pPr>
      <w:r w:rsidRPr="00723520">
        <w:rPr>
          <w:rFonts w:ascii="Times New Roman" w:hAnsi="Times New Roman" w:cs="Times New Roman"/>
          <w:sz w:val="28"/>
          <w:szCs w:val="24"/>
        </w:rPr>
        <w:t>Систематизировать полученную информацию в соответствии с целью работы.</w:t>
      </w:r>
    </w:p>
    <w:p w:rsidR="00723520" w:rsidRPr="00723520" w:rsidRDefault="00723520" w:rsidP="00C12451">
      <w:pPr>
        <w:pStyle w:val="a6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8"/>
          <w:szCs w:val="24"/>
        </w:rPr>
      </w:pPr>
      <w:r w:rsidRPr="00723520">
        <w:rPr>
          <w:rFonts w:ascii="Times New Roman" w:hAnsi="Times New Roman" w:cs="Times New Roman"/>
          <w:sz w:val="28"/>
          <w:szCs w:val="24"/>
        </w:rPr>
        <w:t>Сформулировать выводы по проблемным вопросам.</w:t>
      </w:r>
    </w:p>
    <w:p w:rsidR="00723520" w:rsidRPr="00723520" w:rsidRDefault="00723520" w:rsidP="00C12451">
      <w:pPr>
        <w:pStyle w:val="a6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8"/>
          <w:szCs w:val="24"/>
        </w:rPr>
      </w:pPr>
      <w:r w:rsidRPr="00723520">
        <w:rPr>
          <w:rFonts w:ascii="Times New Roman" w:hAnsi="Times New Roman" w:cs="Times New Roman"/>
          <w:sz w:val="28"/>
          <w:szCs w:val="24"/>
        </w:rPr>
        <w:t>Написать единый, связный текст в виде реферата.</w:t>
      </w:r>
    </w:p>
    <w:p w:rsidR="00723520" w:rsidRPr="00723520" w:rsidRDefault="00723520" w:rsidP="00C12451">
      <w:pPr>
        <w:pStyle w:val="a6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8"/>
          <w:szCs w:val="24"/>
        </w:rPr>
      </w:pPr>
      <w:r w:rsidRPr="00723520">
        <w:rPr>
          <w:rFonts w:ascii="Times New Roman" w:hAnsi="Times New Roman" w:cs="Times New Roman"/>
          <w:sz w:val="28"/>
          <w:szCs w:val="24"/>
        </w:rPr>
        <w:br w:type="page"/>
      </w:r>
    </w:p>
    <w:p w:rsidR="00723520" w:rsidRPr="00723520" w:rsidRDefault="00723520" w:rsidP="00C12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3520">
        <w:rPr>
          <w:rFonts w:ascii="Times New Roman" w:hAnsi="Times New Roman" w:cs="Times New Roman"/>
          <w:b/>
          <w:sz w:val="28"/>
          <w:szCs w:val="28"/>
        </w:rPr>
        <w:t>.</w:t>
      </w:r>
    </w:p>
    <w:p w:rsidR="00304750" w:rsidRDefault="00723520" w:rsidP="00C124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Культурная революция.</w:t>
      </w:r>
    </w:p>
    <w:p w:rsidR="00720A29" w:rsidRPr="00A92E07" w:rsidRDefault="00720A29" w:rsidP="00C12451">
      <w:pPr>
        <w:spacing w:line="360" w:lineRule="auto"/>
        <w:ind w:firstLine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1917 году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произошло множество кардинальных изменений, которые, в свою очередь, повлекли за собой много последствий. Причиной таких изменений стала Великая Октябрьская Социалистическая Революция. Будучи кратким, ее можно описать свержение правительства вооруженными силами и приход большевиков к власти. Произошла ликвидация капитализма и переход к социализму. Однако Лев Троцкий отстаивал позицию того, что данный переворот был лишь завершением буржуазно демократической революции и осуществлением того, за что восставший народ боролся в феврале. </w:t>
      </w:r>
    </w:p>
    <w:p w:rsidR="00720A29" w:rsidRPr="00A92E07" w:rsidRDefault="00720A29" w:rsidP="00C12451">
      <w:pPr>
        <w:spacing w:line="360" w:lineRule="auto"/>
        <w:ind w:firstLine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октября 1917 года были приняты Декрет о мире и Декрет о земле. Было сформировано первое советское правительство – Совет народных комиссаров. В его составе были председатель Ленин; наркомы: по иностранным делам Лев Троцкий, по делам национальностей Иосиф Сталин, а также председателем ВЦИК был избран Лев Каменев, а после его отставки Яков Свердлов. Основные центры промышленности были под властью большевиков. Вводилась жестокая цензура – запрет оппозиционной печати. Все предприятия были национализированы, а в июле 1918 года первая советская Конституция вступила в силу. Для построения нового общества были применены следующие методы: </w:t>
      </w:r>
    </w:p>
    <w:p w:rsidR="00720A29" w:rsidRPr="00A92E07" w:rsidRDefault="00720A29" w:rsidP="00C12451">
      <w:pPr>
        <w:pStyle w:val="a6"/>
        <w:numPr>
          <w:ilvl w:val="0"/>
          <w:numId w:val="8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производства и земли были переданы в государственную собственность</w:t>
      </w:r>
    </w:p>
    <w:p w:rsidR="00720A29" w:rsidRPr="00A92E07" w:rsidRDefault="00720A29" w:rsidP="00C12451">
      <w:pPr>
        <w:pStyle w:val="a6"/>
        <w:numPr>
          <w:ilvl w:val="0"/>
          <w:numId w:val="8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Частная собственность была искоренена </w:t>
      </w:r>
    </w:p>
    <w:p w:rsidR="00720A29" w:rsidRPr="00A92E07" w:rsidRDefault="00720A29" w:rsidP="00C12451">
      <w:pPr>
        <w:pStyle w:val="a6"/>
        <w:numPr>
          <w:ilvl w:val="0"/>
          <w:numId w:val="8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оппозиция была устранена</w:t>
      </w:r>
    </w:p>
    <w:p w:rsidR="00720A29" w:rsidRPr="00A92E07" w:rsidRDefault="00720A29" w:rsidP="00C12451">
      <w:pPr>
        <w:pStyle w:val="a6"/>
        <w:numPr>
          <w:ilvl w:val="0"/>
          <w:numId w:val="8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марксизма-ленинизма на замену православия</w:t>
      </w:r>
    </w:p>
    <w:p w:rsidR="00720A29" w:rsidRPr="00A92E07" w:rsidRDefault="00720A29" w:rsidP="00C12451">
      <w:pPr>
        <w:pStyle w:val="a6"/>
        <w:numPr>
          <w:ilvl w:val="0"/>
          <w:numId w:val="8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 атеизма </w:t>
      </w:r>
    </w:p>
    <w:p w:rsidR="00720A29" w:rsidRPr="00A92E07" w:rsidRDefault="00720A29" w:rsidP="00C12451">
      <w:pPr>
        <w:pStyle w:val="a6"/>
        <w:numPr>
          <w:ilvl w:val="0"/>
          <w:numId w:val="8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 была сосредоточена в руках одной партии</w:t>
      </w:r>
    </w:p>
    <w:p w:rsidR="00720A29" w:rsidRPr="00A92E07" w:rsidRDefault="00720A29" w:rsidP="00C124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наблюдалось полное отсутствие свободы слова, демонстраций, митингов, печати, несмотря на их декларацию в Конституции. </w:t>
      </w:r>
    </w:p>
    <w:p w:rsidR="00720A29" w:rsidRPr="00A92E07" w:rsidRDefault="00720A29" w:rsidP="00C124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Революция означала перелом в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</w:t>
      </w: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социальной точки зрения, так и с политической и экономической. Рождалась культура нового типа. Она имела следующие характеристики:</w:t>
      </w:r>
    </w:p>
    <w:p w:rsidR="00720A29" w:rsidRPr="00A92E07" w:rsidRDefault="00720A29" w:rsidP="00C12451">
      <w:pPr>
        <w:pStyle w:val="a6"/>
        <w:numPr>
          <w:ilvl w:val="0"/>
          <w:numId w:val="9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Общенародность</w:t>
      </w:r>
    </w:p>
    <w:p w:rsidR="00720A29" w:rsidRPr="00A92E07" w:rsidRDefault="00720A29" w:rsidP="00C12451">
      <w:pPr>
        <w:pStyle w:val="a6"/>
        <w:numPr>
          <w:ilvl w:val="0"/>
          <w:numId w:val="9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Массовость</w:t>
      </w:r>
    </w:p>
    <w:p w:rsidR="00720A29" w:rsidRPr="00A92E07" w:rsidRDefault="00720A29" w:rsidP="00C12451">
      <w:pPr>
        <w:pStyle w:val="a6"/>
        <w:numPr>
          <w:ilvl w:val="0"/>
          <w:numId w:val="9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Многонациональность</w:t>
      </w:r>
    </w:p>
    <w:p w:rsidR="00720A29" w:rsidRPr="00A92E07" w:rsidRDefault="00720A29" w:rsidP="00C124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революция в это время подразумевала собой выполнения многих задач. Основно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ее целью было приобщение всех народов государства</w:t>
      </w: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грамотности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 базе</w:t>
      </w: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основам общей и национальной культуры. Культурную революцию было довольно трудно осуществить. На пути стояли следующие препятствия:</w:t>
      </w:r>
    </w:p>
    <w:p w:rsidR="00720A29" w:rsidRPr="00A92E07" w:rsidRDefault="00720A29" w:rsidP="00C12451">
      <w:pPr>
        <w:pStyle w:val="a6"/>
        <w:numPr>
          <w:ilvl w:val="0"/>
          <w:numId w:val="10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В. И. Ленина, «в смысле образования, света и знания» культурная жизнь дореволюционной России была обделена;</w:t>
      </w:r>
    </w:p>
    <w:p w:rsidR="00720A29" w:rsidRPr="00A92E07" w:rsidRDefault="00720A29" w:rsidP="00C12451">
      <w:pPr>
        <w:pStyle w:val="a6"/>
        <w:numPr>
          <w:ilvl w:val="0"/>
          <w:numId w:val="10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Стояла задача преодолеть большой разрыв между сложным развитием русского искусства начала </w:t>
      </w: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и задачей приобщения к новым идеалам многонационального народа. </w:t>
      </w:r>
    </w:p>
    <w:p w:rsidR="00720A29" w:rsidRPr="00A92E07" w:rsidRDefault="00720A29" w:rsidP="00C124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рная революция ставила</w:t>
      </w: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художниками следующие важные задачи:</w:t>
      </w:r>
    </w:p>
    <w:p w:rsidR="00720A29" w:rsidRPr="00A92E07" w:rsidRDefault="00720A29" w:rsidP="00C12451">
      <w:pPr>
        <w:pStyle w:val="a6"/>
        <w:numPr>
          <w:ilvl w:val="0"/>
          <w:numId w:val="11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Отстаивать общее дело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борьбу </w:t>
      </w: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социализм и коммунизм;</w:t>
      </w:r>
    </w:p>
    <w:p w:rsidR="00720A29" w:rsidRPr="00A92E07" w:rsidRDefault="00720A29" w:rsidP="00C12451">
      <w:pPr>
        <w:pStyle w:val="a6"/>
        <w:numPr>
          <w:ilvl w:val="0"/>
          <w:numId w:val="11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людям правду</w:t>
      </w:r>
    </w:p>
    <w:p w:rsidR="00720A29" w:rsidRPr="00A92E07" w:rsidRDefault="00720A29" w:rsidP="00C12451">
      <w:pPr>
        <w:pStyle w:val="a6"/>
        <w:numPr>
          <w:ilvl w:val="0"/>
          <w:numId w:val="11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Рождать в людях творческое начало</w:t>
      </w:r>
    </w:p>
    <w:p w:rsidR="00720A29" w:rsidRPr="00A92E07" w:rsidRDefault="00720A29" w:rsidP="00C12451">
      <w:pPr>
        <w:pStyle w:val="a6"/>
        <w:numPr>
          <w:ilvl w:val="0"/>
          <w:numId w:val="11"/>
        </w:num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народу</w:t>
      </w:r>
    </w:p>
    <w:p w:rsidR="00720A29" w:rsidRPr="00A92E07" w:rsidRDefault="00720A29" w:rsidP="00C124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мы видим, что искусство после революции выступало в роли выразителя новых идей. Революция поставила перед художниками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новых и необходимых задач.</w:t>
      </w:r>
    </w:p>
    <w:p w:rsidR="00720A29" w:rsidRDefault="00720A29" w:rsidP="00C12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3520" w:rsidRP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 w:rsidRPr="00723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направления русского искусства периода 20-х годов.</w:t>
      </w: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определить вектор развития искусства в то время, необходимо ознакомиться с основными направлениями.</w:t>
      </w:r>
    </w:p>
    <w:p w:rsidR="00723520" w:rsidRPr="00571683" w:rsidRDefault="00723520" w:rsidP="00C1245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16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Политический плакат.</w:t>
      </w: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черты политического плаката:</w:t>
      </w:r>
    </w:p>
    <w:p w:rsidR="00723520" w:rsidRPr="00A92E07" w:rsidRDefault="00723520" w:rsidP="00C12451">
      <w:pPr>
        <w:pStyle w:val="a6"/>
        <w:numPr>
          <w:ilvl w:val="0"/>
          <w:numId w:val="13"/>
        </w:numP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лаконичность, условность изображения</w:t>
      </w:r>
    </w:p>
    <w:p w:rsidR="00723520" w:rsidRPr="00A92E07" w:rsidRDefault="00723520" w:rsidP="00C12451">
      <w:pPr>
        <w:pStyle w:val="a6"/>
        <w:numPr>
          <w:ilvl w:val="0"/>
          <w:numId w:val="13"/>
        </w:numP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силуэта и жеста</w:t>
      </w:r>
    </w:p>
    <w:p w:rsidR="00723520" w:rsidRPr="00A92E07" w:rsidRDefault="00723520" w:rsidP="00C12451">
      <w:pPr>
        <w:pStyle w:val="a6"/>
        <w:numPr>
          <w:ilvl w:val="0"/>
          <w:numId w:val="13"/>
        </w:numP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острота подачи материала</w:t>
      </w:r>
    </w:p>
    <w:p w:rsidR="00723520" w:rsidRPr="00A92E07" w:rsidRDefault="00723520" w:rsidP="00C12451">
      <w:pPr>
        <w:pStyle w:val="a6"/>
        <w:numPr>
          <w:ilvl w:val="0"/>
          <w:numId w:val="13"/>
        </w:numP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агитационная направленность</w:t>
      </w:r>
    </w:p>
    <w:p w:rsidR="00723520" w:rsidRPr="00A92E07" w:rsidRDefault="00723520" w:rsidP="00C12451">
      <w:pPr>
        <w:pStyle w:val="a6"/>
        <w:numPr>
          <w:ilvl w:val="0"/>
          <w:numId w:val="13"/>
        </w:numP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мгновенная реакция на быстро меняющиеся события</w:t>
      </w:r>
    </w:p>
    <w:p w:rsidR="00723520" w:rsidRPr="00A92E07" w:rsidRDefault="00723520" w:rsidP="00C12451">
      <w:pPr>
        <w:pStyle w:val="a6"/>
        <w:numPr>
          <w:ilvl w:val="0"/>
          <w:numId w:val="13"/>
        </w:numP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призыв, быстрое воздействие на зрителя</w:t>
      </w: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плакат имел большое значение в советское время: его можно было найти на каждом столбе; он выполнял функцию живого оратора, давал уроки политической грамотности малограмотным, привлекал внимание людей к важным проблемам того времени. Ярким примером политического плаката является плакат «1 мая» А.П. Ансита.</w:t>
      </w: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8FCFAF0" wp14:editId="1C33CB7E">
            <wp:simplePos x="0" y="0"/>
            <wp:positionH relativeFrom="margin">
              <wp:posOffset>2101850</wp:posOffset>
            </wp:positionH>
            <wp:positionV relativeFrom="margin">
              <wp:posOffset>5651500</wp:posOffset>
            </wp:positionV>
            <wp:extent cx="2089150" cy="2793365"/>
            <wp:effectExtent l="0" t="0" r="6350" b="6985"/>
            <wp:wrapTight wrapText="bothSides">
              <wp:wrapPolygon edited="0">
                <wp:start x="0" y="0"/>
                <wp:lineTo x="0" y="21507"/>
                <wp:lineTo x="21469" y="21507"/>
                <wp:lineTo x="21469" y="0"/>
                <wp:lineTo x="0" y="0"/>
              </wp:wrapPolygon>
            </wp:wrapTight>
            <wp:docPr id="1" name="Рисунок 1" descr="ÐÐ¿ÑÐ¸Ñ Ð. Ð. ÐÐ»Ð°ÐºÐ°Ñ Â«1 Ð¼Ð°Ñ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¿ÑÐ¸Ñ Ð. Ð. ÐÐ»Ð°ÐºÐ°Ñ Â«1 Ð¼Ð°Ñ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520" w:rsidRPr="00A92E07" w:rsidRDefault="00723520" w:rsidP="00C12451">
      <w:pPr>
        <w:spacing w:line="360" w:lineRule="auto"/>
        <w:ind w:firstLine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520" w:rsidRPr="00A92E07" w:rsidRDefault="00723520" w:rsidP="00C12451">
      <w:pPr>
        <w:spacing w:line="360" w:lineRule="auto"/>
        <w:ind w:firstLine="52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E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23520" w:rsidRPr="00A92E07" w:rsidRDefault="00723520" w:rsidP="00C12451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3520" w:rsidRPr="00A92E07" w:rsidRDefault="00723520" w:rsidP="00C12451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3520" w:rsidRPr="00A92E07" w:rsidRDefault="00723520" w:rsidP="00C12451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3520" w:rsidRPr="00A92E07" w:rsidRDefault="00723520" w:rsidP="00C12451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3520" w:rsidRDefault="00723520" w:rsidP="00C1245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Ансит (1880-1994) «1 мая»</w:t>
      </w:r>
    </w:p>
    <w:p w:rsidR="00723520" w:rsidRPr="00571683" w:rsidRDefault="00723520" w:rsidP="00C1245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16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Живопись и графика.</w:t>
      </w: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 и графика, являясь традиционными видами изобразительного искусства, стремительно продолжали свое развитие в 20-е годы. Представителей данного направления можно разбить на две группы: старшее и младшее поколения. У одних целью было запечатлеть эпоху в ее переломном состоянии с помощью символов, у других – отдельные эпизоды путем фактологического отображения. </w:t>
      </w: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художественные направления находились в трудных условиях для развития, например архитектура и художественная промышленность.</w:t>
      </w: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выделить два основных направления искусства в 20-е годы: политический плакат и живопись с графикой. Как раз живопись являлась главным направлением в творчестве Исаака Бродского.</w:t>
      </w: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2512CB8" wp14:editId="6F2D57D2">
            <wp:simplePos x="0" y="0"/>
            <wp:positionH relativeFrom="page">
              <wp:posOffset>1938655</wp:posOffset>
            </wp:positionH>
            <wp:positionV relativeFrom="page">
              <wp:posOffset>5391150</wp:posOffset>
            </wp:positionV>
            <wp:extent cx="4111767" cy="2590800"/>
            <wp:effectExtent l="0" t="0" r="3175" b="0"/>
            <wp:wrapSquare wrapText="bothSides"/>
            <wp:docPr id="3" name="Рисунок 3" descr="http://www.peoples.ru/art/painter/isaak_brodskiy/brodskiy_work_2015032512320415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oples.ru/art/painter/isaak_brodskiy/brodskiy_work_2015032512320415_midd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11" b="23981"/>
                    <a:stretch/>
                  </pic:blipFill>
                  <pic:spPr bwMode="auto">
                    <a:xfrm>
                      <a:off x="0" y="0"/>
                      <a:ext cx="4111767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20" w:rsidRPr="00571683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3520" w:rsidRPr="00571683" w:rsidRDefault="00723520" w:rsidP="00C1245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 Бродский «Зимний пейзаж» 1917 г.</w:t>
      </w:r>
      <w:r w:rsidRPr="005716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04750" w:rsidRPr="00B511D7" w:rsidRDefault="00723520" w:rsidP="00C124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 АХРР.</w:t>
      </w: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20-е годы в Советском союзе создавалось множество различных группировок. Каждая из них выступала со своим манифестом. Искусство того времени старалось идти в ногу с эпохой и заглядывать в будущее. Тремя главными художественными объединениями являлись:</w:t>
      </w:r>
    </w:p>
    <w:p w:rsidR="00723520" w:rsidRPr="00A92E07" w:rsidRDefault="00723520" w:rsidP="00C12451">
      <w:pPr>
        <w:pStyle w:val="a6"/>
        <w:numPr>
          <w:ilvl w:val="0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«4 искусства»</w:t>
      </w:r>
    </w:p>
    <w:p w:rsidR="00723520" w:rsidRPr="00A92E07" w:rsidRDefault="00723520" w:rsidP="00C12451">
      <w:pPr>
        <w:pStyle w:val="a6"/>
        <w:numPr>
          <w:ilvl w:val="0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</w:p>
    <w:p w:rsidR="00723520" w:rsidRPr="00A92E07" w:rsidRDefault="00723520" w:rsidP="00C12451">
      <w:pPr>
        <w:pStyle w:val="a6"/>
        <w:numPr>
          <w:ilvl w:val="0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АХРР</w:t>
      </w: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АХРР – ассоциация художников революционной России. Она была сформирована в 1922 году. В основном туда входили бывшие участники Товарищества передвижных выставок. Иначе членов ассоциации называли «ахровцы». Главной целью «ахровцев» было запечатлеть быт «сегодняшнего дня»: жизнь различных слоев населения, революционную деятельность. В своем творчестве художники ориентировались на массовость, пытались сделать произведения доступными всем. За время своего существования немало выставок было организовано АХРР:</w:t>
      </w:r>
    </w:p>
    <w:p w:rsidR="00723520" w:rsidRPr="00A92E07" w:rsidRDefault="00723520" w:rsidP="00C12451">
      <w:pPr>
        <w:pStyle w:val="a6"/>
        <w:numPr>
          <w:ilvl w:val="0"/>
          <w:numId w:val="15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«Жизнь и быт рабочих» (1922)</w:t>
      </w:r>
    </w:p>
    <w:p w:rsidR="00723520" w:rsidRPr="00A92E07" w:rsidRDefault="00723520" w:rsidP="00C12451">
      <w:pPr>
        <w:pStyle w:val="a6"/>
        <w:numPr>
          <w:ilvl w:val="0"/>
          <w:numId w:val="15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«Жизнь и быт Красной Армии» (1923)</w:t>
      </w:r>
    </w:p>
    <w:p w:rsidR="00723520" w:rsidRPr="00A92E07" w:rsidRDefault="00723520" w:rsidP="00C12451">
      <w:pPr>
        <w:pStyle w:val="a6"/>
        <w:numPr>
          <w:ilvl w:val="0"/>
          <w:numId w:val="15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«Революция, быт, труд» (1924-1925)</w:t>
      </w:r>
    </w:p>
    <w:p w:rsidR="00723520" w:rsidRPr="00A92E07" w:rsidRDefault="00723520" w:rsidP="00C12451">
      <w:pPr>
        <w:pStyle w:val="a6"/>
        <w:numPr>
          <w:ilvl w:val="0"/>
          <w:numId w:val="15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«Жизнь и быт народов СССР» (1926)</w:t>
      </w: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практики «ахровцы» смотрели на людской быт вживую: приходили на рабочие места и наблюдали за процессом. Это были и различные фабрики, и заводы, и казармы. Все это делалось для того, чтобы прямо отобразить современную действительность. </w:t>
      </w: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F05" w:rsidRDefault="000F0F05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выделить некие общие черты, присущие большинству авторов этого объединения:</w:t>
      </w:r>
    </w:p>
    <w:p w:rsidR="00723520" w:rsidRPr="00A92E07" w:rsidRDefault="00723520" w:rsidP="00C12451">
      <w:pPr>
        <w:pStyle w:val="a6"/>
        <w:numPr>
          <w:ilvl w:val="0"/>
          <w:numId w:val="16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Скромность и простота облика героев</w:t>
      </w:r>
    </w:p>
    <w:p w:rsidR="00723520" w:rsidRPr="00A92E07" w:rsidRDefault="00723520" w:rsidP="00C12451">
      <w:pPr>
        <w:pStyle w:val="a6"/>
        <w:numPr>
          <w:ilvl w:val="0"/>
          <w:numId w:val="16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быта</w:t>
      </w:r>
    </w:p>
    <w:p w:rsidR="00723520" w:rsidRDefault="00723520" w:rsidP="00C12451">
      <w:pPr>
        <w:pStyle w:val="a6"/>
        <w:numPr>
          <w:ilvl w:val="0"/>
          <w:numId w:val="16"/>
        </w:num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Поднятие актуальных социальных тем и проблем</w:t>
      </w:r>
    </w:p>
    <w:p w:rsidR="000F0F05" w:rsidRPr="000F0F05" w:rsidRDefault="000F0F05" w:rsidP="00C12451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Е. М. Чепцов «Заседание сельячейки»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яркий пример, которому присущи все эти черты.</w:t>
      </w: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члены ассоциации художников революционной России оказали значительное влияние на представителей разных художественных групп, обратив их внимания на новые тематики.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черты произведений ахровцев — это чёткая повествовательность, консервативная «реалистичность», попытка воссоздания исторического или современного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сделало большой прорыв в реалистическом искусстве с помощью упрощения и расчета на массового зрителя. </w:t>
      </w:r>
    </w:p>
    <w:p w:rsidR="00723520" w:rsidRPr="00A92E07" w:rsidRDefault="000F0F05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0FE8F7C0" wp14:editId="77753C64">
            <wp:simplePos x="0" y="0"/>
            <wp:positionH relativeFrom="margin">
              <wp:posOffset>985520</wp:posOffset>
            </wp:positionH>
            <wp:positionV relativeFrom="margin">
              <wp:posOffset>5101590</wp:posOffset>
            </wp:positionV>
            <wp:extent cx="3683000" cy="2755265"/>
            <wp:effectExtent l="0" t="0" r="0" b="6985"/>
            <wp:wrapSquare wrapText="bothSides"/>
            <wp:docPr id="29" name="Рисунок 29" descr="https://im0-tub-ru.yandex.net/i?id=b618c1c1244a1ad27c7267eac2b9e3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b618c1c1244a1ad27c7267eac2b9e374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20" w:rsidRPr="00A92E07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20" w:rsidRDefault="00723520" w:rsidP="00C1245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20" w:rsidRPr="00723520" w:rsidRDefault="00723520" w:rsidP="00C1245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7">
        <w:rPr>
          <w:rFonts w:ascii="Times New Roman" w:eastAsia="Times New Roman" w:hAnsi="Times New Roman" w:cs="Times New Roman"/>
          <w:sz w:val="28"/>
          <w:szCs w:val="28"/>
          <w:lang w:eastAsia="ru-RU"/>
        </w:rPr>
        <w:t>Е. М. Чепцов «Заседание сельячейки» 1924 г.</w:t>
      </w:r>
    </w:p>
    <w:p w:rsidR="00F75D12" w:rsidRDefault="00F75D12" w:rsidP="00C12451">
      <w:pPr>
        <w:tabs>
          <w:tab w:val="left" w:pos="27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D12" w:rsidRDefault="00F75D12" w:rsidP="00C12451">
      <w:pPr>
        <w:tabs>
          <w:tab w:val="left" w:pos="27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1920-е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Бродский</w:t>
      </w:r>
      <w:r w:rsidRPr="00F7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 в Ассоциации художников революционной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АХРРе во многом было вынужденное, ведь по другую сторону баррикад – леваки-авангардисты, для которых Бродский со своей нарочитой академичностью и идеологической всеядностью являлся персоной нон грата. «Ахровцы» в свою очередь тоже не жаловали Исаака Израилевича. Даже пытались изгнать его из своих рядов – он буржуазный элемент, осколок прошлого. Но у Бродского были высокие защитники, и его так просто не выгонишь.</w:t>
      </w:r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723520" w:rsidRP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D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2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 </w:t>
      </w:r>
      <w:r w:rsidR="0091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творческого пути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 Бродского.</w:t>
      </w: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Исаак Израилевич Бродский родился 25 декабря 1883 года в небольшом болгарском селе Софиевка Таврической губернии. Своим родным городом он считает Бердянск. </w:t>
      </w:r>
      <w:r w:rsidR="009E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некоторых важных деталях его биографии.</w:t>
      </w:r>
    </w:p>
    <w:p w:rsidR="00723520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его автобиографии, с раннего детства он был страстно увлечен рисованием. Сначала Исаак занимался перерисовкой эмблем и узоров, очень любил рисовать ветряные мельницы, лошадей и избушки. Его пристрастие было настолько сильным, что он выменивал у знакомых тетрадки с рисунками на сладости, и просиживал целые дни, обводя их чернилами. В восемь лет Исаака отправили учиться в Бердянское городское училище, где он получил начальное образование. В Бердянске он занимался рисованием на дому с Н.И. Котляревским, ставшим его первым учителем. За свои детские рисунки Бродский получал множество наград. Вскоре Исаака отправили учиться в Одессу. С 1896 года он учился в Одесском художественном училище. На первом же году обучения он получил похвальный лист за рисование. Решив перейти на живописное отделение, Исаак избрал живопись своей специальностью, и это послужило толчком для его дальнейшего роста. </w:t>
      </w:r>
    </w:p>
    <w:p w:rsidR="00D25138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1902 году Бродский поступил в петербуржскую Академию художеств без экзаменов.</w:t>
      </w:r>
      <w:r w:rsidR="00B600BF" w:rsidRPr="00B600BF">
        <w:t xml:space="preserve"> </w:t>
      </w:r>
      <w:r w:rsidR="00B6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00BF" w:rsidRPr="00B6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мечтал стать маэстро, известным, хорошо зарабатывающим художником. Исааку Бродскому удалось то, что не удалось большинству его коллег. Он стал не просто известным, но и главным художником Советского Союза.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0BF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B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учителями были И.Е. Репин и Я.Ф. Ционглинский. </w:t>
      </w:r>
      <w:r w:rsidR="0089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И.Е. Репин оказал на Бродского огромное влияние, ведь он являлся мастером своего дела. </w:t>
      </w:r>
      <w:r w:rsidR="00D25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 очень много писал о нем, лестно отзываясь, в своей автобиографии.</w:t>
      </w:r>
    </w:p>
    <w:p w:rsidR="00D25138" w:rsidRDefault="00723520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период времени все больше и больше нарастало революционное движение, и </w:t>
      </w:r>
      <w:r w:rsidR="00892C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остался в стороне: он нарисовал несколько политических карикатур для журналов. </w:t>
      </w:r>
      <w:r w:rsidR="00F75D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он был исключен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охарактеризован как политически неблагонадежный студент.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после вмешательства Репина двери академии были снова для него открыты. </w:t>
      </w:r>
    </w:p>
    <w:p w:rsidR="00831236" w:rsidRDefault="00D25138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1910-е годы Бродский уже являлся коммерчески успешным живописцем. По мнению Л. Лурье, у Бродского не было цели стать гением, новатором. Он хотел простой обеспеченной жизни.</w:t>
      </w:r>
    </w:p>
    <w:p w:rsidR="00723520" w:rsidRDefault="00831236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своего обучения Бродский написал две картины: «Теплый день» и «Портрет Л.М. Бродской». Ему была вручена Золотая медаль за «Теплый день», и, что самое главное, он получил возможность обучаться заграницей. В 1909 году он путешествует по Европе. Затем он гостил у Максима Горького на острове Капри в Италии. </w:t>
      </w:r>
      <w:r w:rsidR="000F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Максиме Горьком он </w:t>
      </w:r>
      <w:r w:rsidR="00D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отзывался также очень тепло в своей автобиографии</w:t>
      </w:r>
      <w:r w:rsidR="0034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написал ему портрет. </w:t>
      </w:r>
    </w:p>
    <w:p w:rsidR="009D70B8" w:rsidRPr="000F0F05" w:rsidRDefault="009D70B8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видим, что И.И. Бродский получил хорошее образование и уже будучи молодым состоялся как художник. </w:t>
      </w:r>
    </w:p>
    <w:p w:rsidR="00844FDB" w:rsidRPr="009D70B8" w:rsidRDefault="00844FDB" w:rsidP="00C124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мы увидели,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20-30 годов искусство явилось с целью выразить новые идеи. Средством для выполнения этой цели являлись художники, перед которыми встало множество важных задач.</w:t>
      </w:r>
      <w:r w:rsidRPr="00A9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рассмотрели основные направления изобразительного искусства выбранного периода, выделили их особенности. Также мы изучили биографию Исаака Бродского, проанализировав начала его творческого пути и увидели,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являлась главным направлением в его творчестве.</w:t>
      </w:r>
      <w:r w:rsidR="009E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Репин оказал на него сильное влияние и помог ему вернуться в Академию художеств.</w:t>
      </w:r>
    </w:p>
    <w:p w:rsidR="00723520" w:rsidRPr="00844FDB" w:rsidRDefault="00723520" w:rsidP="00C12451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50" w:rsidRPr="00D05504" w:rsidRDefault="00304750" w:rsidP="00D055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04750" w:rsidRPr="00D05504" w:rsidSect="003D3586"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BE" w:rsidRDefault="007E4CBE" w:rsidP="003D3586">
      <w:pPr>
        <w:spacing w:after="0" w:line="240" w:lineRule="auto"/>
      </w:pPr>
      <w:r>
        <w:separator/>
      </w:r>
    </w:p>
  </w:endnote>
  <w:endnote w:type="continuationSeparator" w:id="0">
    <w:p w:rsidR="007E4CBE" w:rsidRDefault="007E4CBE" w:rsidP="003D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BE" w:rsidRDefault="007E4CBE" w:rsidP="003D3586">
      <w:pPr>
        <w:spacing w:after="0" w:line="240" w:lineRule="auto"/>
      </w:pPr>
      <w:r>
        <w:separator/>
      </w:r>
    </w:p>
  </w:footnote>
  <w:footnote w:type="continuationSeparator" w:id="0">
    <w:p w:rsidR="007E4CBE" w:rsidRDefault="007E4CBE" w:rsidP="003D3586">
      <w:pPr>
        <w:spacing w:after="0" w:line="240" w:lineRule="auto"/>
      </w:pPr>
      <w:r>
        <w:continuationSeparator/>
      </w:r>
    </w:p>
  </w:footnote>
  <w:footnote w:id="1">
    <w:p w:rsidR="007A594C" w:rsidRDefault="007A594C">
      <w:pPr>
        <w:pStyle w:val="ac"/>
      </w:pPr>
      <w:r>
        <w:rPr>
          <w:rStyle w:val="ae"/>
        </w:rPr>
        <w:footnoteRef/>
      </w:r>
      <w:r>
        <w:t xml:space="preserve"> </w:t>
      </w:r>
      <w:r w:rsidR="00B1013E" w:rsidRPr="00B1013E">
        <w:t>Л.Я. Лурье Без Москвы. BHV, 2014.</w:t>
      </w:r>
    </w:p>
  </w:footnote>
  <w:footnote w:id="2">
    <w:p w:rsidR="007A594C" w:rsidRDefault="007A594C">
      <w:pPr>
        <w:pStyle w:val="ac"/>
      </w:pPr>
      <w:r>
        <w:rPr>
          <w:rStyle w:val="ae"/>
        </w:rPr>
        <w:footnoteRef/>
      </w:r>
      <w:r>
        <w:t xml:space="preserve"> </w:t>
      </w:r>
      <w:r w:rsidR="00D6585A" w:rsidRPr="00D6585A">
        <w:t>Л.Я. Лурье Без Москвы. BHV,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028179"/>
      <w:docPartObj>
        <w:docPartGallery w:val="Page Numbers (Top of Page)"/>
        <w:docPartUnique/>
      </w:docPartObj>
    </w:sdtPr>
    <w:sdtContent>
      <w:p w:rsidR="007A594C" w:rsidRDefault="007A59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04">
          <w:rPr>
            <w:noProof/>
          </w:rPr>
          <w:t>13</w:t>
        </w:r>
        <w:r>
          <w:fldChar w:fldCharType="end"/>
        </w:r>
      </w:p>
    </w:sdtContent>
  </w:sdt>
  <w:p w:rsidR="007A594C" w:rsidRDefault="007A59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1FD"/>
    <w:multiLevelType w:val="hybridMultilevel"/>
    <w:tmpl w:val="EB96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025C"/>
    <w:multiLevelType w:val="hybridMultilevel"/>
    <w:tmpl w:val="8106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284B"/>
    <w:multiLevelType w:val="hybridMultilevel"/>
    <w:tmpl w:val="E9223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86E12"/>
    <w:multiLevelType w:val="multilevel"/>
    <w:tmpl w:val="00343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21DD4B18"/>
    <w:multiLevelType w:val="hybridMultilevel"/>
    <w:tmpl w:val="5D5038DE"/>
    <w:lvl w:ilvl="0" w:tplc="AAC009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E036CF"/>
    <w:multiLevelType w:val="hybridMultilevel"/>
    <w:tmpl w:val="E16E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E187B"/>
    <w:multiLevelType w:val="hybridMultilevel"/>
    <w:tmpl w:val="AD82DFDC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29753264"/>
    <w:multiLevelType w:val="hybridMultilevel"/>
    <w:tmpl w:val="BFDA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31589"/>
    <w:multiLevelType w:val="hybridMultilevel"/>
    <w:tmpl w:val="9FF4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976"/>
    <w:multiLevelType w:val="hybridMultilevel"/>
    <w:tmpl w:val="5B7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2985"/>
    <w:multiLevelType w:val="hybridMultilevel"/>
    <w:tmpl w:val="340E5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8D1296"/>
    <w:multiLevelType w:val="hybridMultilevel"/>
    <w:tmpl w:val="6FA4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56653"/>
    <w:multiLevelType w:val="hybridMultilevel"/>
    <w:tmpl w:val="ACF6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26309"/>
    <w:multiLevelType w:val="multilevel"/>
    <w:tmpl w:val="565C87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>
    <w:nsid w:val="5DDC7B8C"/>
    <w:multiLevelType w:val="hybridMultilevel"/>
    <w:tmpl w:val="146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40C98"/>
    <w:multiLevelType w:val="hybridMultilevel"/>
    <w:tmpl w:val="C7D6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22153"/>
    <w:multiLevelType w:val="hybridMultilevel"/>
    <w:tmpl w:val="496E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F7D38"/>
    <w:multiLevelType w:val="multilevel"/>
    <w:tmpl w:val="00343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8">
    <w:nsid w:val="76AB5809"/>
    <w:multiLevelType w:val="hybridMultilevel"/>
    <w:tmpl w:val="50AC570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>
    <w:nsid w:val="77C47AF7"/>
    <w:multiLevelType w:val="multilevel"/>
    <w:tmpl w:val="02665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AAA26FE"/>
    <w:multiLevelType w:val="hybridMultilevel"/>
    <w:tmpl w:val="26AAA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3"/>
  </w:num>
  <w:num w:numId="5">
    <w:abstractNumId w:val="17"/>
  </w:num>
  <w:num w:numId="6">
    <w:abstractNumId w:val="4"/>
  </w:num>
  <w:num w:numId="7">
    <w:abstractNumId w:val="13"/>
  </w:num>
  <w:num w:numId="8">
    <w:abstractNumId w:val="6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20"/>
  </w:num>
  <w:num w:numId="17">
    <w:abstractNumId w:val="1"/>
  </w:num>
  <w:num w:numId="18">
    <w:abstractNumId w:val="18"/>
  </w:num>
  <w:num w:numId="19">
    <w:abstractNumId w:val="12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50"/>
    <w:rsid w:val="000140D2"/>
    <w:rsid w:val="00034925"/>
    <w:rsid w:val="000400D2"/>
    <w:rsid w:val="0004078A"/>
    <w:rsid w:val="00050DA8"/>
    <w:rsid w:val="00056A15"/>
    <w:rsid w:val="0007504E"/>
    <w:rsid w:val="000F0F05"/>
    <w:rsid w:val="00135324"/>
    <w:rsid w:val="00145A7F"/>
    <w:rsid w:val="001779D9"/>
    <w:rsid w:val="00185CE9"/>
    <w:rsid w:val="00195478"/>
    <w:rsid w:val="001A4EA2"/>
    <w:rsid w:val="001D51A2"/>
    <w:rsid w:val="001E6D2C"/>
    <w:rsid w:val="002032F5"/>
    <w:rsid w:val="00270E64"/>
    <w:rsid w:val="002B31AE"/>
    <w:rsid w:val="002F5DFA"/>
    <w:rsid w:val="00304750"/>
    <w:rsid w:val="00343E3F"/>
    <w:rsid w:val="0038309B"/>
    <w:rsid w:val="003A4BCF"/>
    <w:rsid w:val="003D3586"/>
    <w:rsid w:val="00437781"/>
    <w:rsid w:val="004417F5"/>
    <w:rsid w:val="00500E4B"/>
    <w:rsid w:val="005020ED"/>
    <w:rsid w:val="00507931"/>
    <w:rsid w:val="005219B4"/>
    <w:rsid w:val="00527ED6"/>
    <w:rsid w:val="00566CAC"/>
    <w:rsid w:val="005A32A0"/>
    <w:rsid w:val="0060174C"/>
    <w:rsid w:val="00613B2F"/>
    <w:rsid w:val="006150B8"/>
    <w:rsid w:val="00631F34"/>
    <w:rsid w:val="00637D80"/>
    <w:rsid w:val="006F1730"/>
    <w:rsid w:val="00710BF9"/>
    <w:rsid w:val="00720A29"/>
    <w:rsid w:val="00722490"/>
    <w:rsid w:val="00723520"/>
    <w:rsid w:val="00733163"/>
    <w:rsid w:val="007463B9"/>
    <w:rsid w:val="00763C12"/>
    <w:rsid w:val="007A594C"/>
    <w:rsid w:val="007D4B57"/>
    <w:rsid w:val="007E4CBE"/>
    <w:rsid w:val="00813583"/>
    <w:rsid w:val="00831236"/>
    <w:rsid w:val="00844FDB"/>
    <w:rsid w:val="008602C7"/>
    <w:rsid w:val="00892C8A"/>
    <w:rsid w:val="00912CA9"/>
    <w:rsid w:val="00951523"/>
    <w:rsid w:val="009916F6"/>
    <w:rsid w:val="009A4E32"/>
    <w:rsid w:val="009D70B8"/>
    <w:rsid w:val="009E0BAF"/>
    <w:rsid w:val="00A52B3A"/>
    <w:rsid w:val="00AB55DF"/>
    <w:rsid w:val="00AD058D"/>
    <w:rsid w:val="00B1013E"/>
    <w:rsid w:val="00B511D7"/>
    <w:rsid w:val="00B600BF"/>
    <w:rsid w:val="00B87382"/>
    <w:rsid w:val="00BD7B9D"/>
    <w:rsid w:val="00BE4A14"/>
    <w:rsid w:val="00BF737F"/>
    <w:rsid w:val="00C03EA3"/>
    <w:rsid w:val="00C0505A"/>
    <w:rsid w:val="00C12451"/>
    <w:rsid w:val="00C2541F"/>
    <w:rsid w:val="00CE26D7"/>
    <w:rsid w:val="00CF1493"/>
    <w:rsid w:val="00D05504"/>
    <w:rsid w:val="00D25138"/>
    <w:rsid w:val="00D2547D"/>
    <w:rsid w:val="00D315BF"/>
    <w:rsid w:val="00D31823"/>
    <w:rsid w:val="00D3315F"/>
    <w:rsid w:val="00D6585A"/>
    <w:rsid w:val="00D675FB"/>
    <w:rsid w:val="00D92490"/>
    <w:rsid w:val="00DA2F10"/>
    <w:rsid w:val="00DC2E22"/>
    <w:rsid w:val="00DD422A"/>
    <w:rsid w:val="00DD580E"/>
    <w:rsid w:val="00DE0A5B"/>
    <w:rsid w:val="00DE469F"/>
    <w:rsid w:val="00E1077B"/>
    <w:rsid w:val="00E80B7F"/>
    <w:rsid w:val="00E91D35"/>
    <w:rsid w:val="00E944D4"/>
    <w:rsid w:val="00F4767C"/>
    <w:rsid w:val="00F75D12"/>
    <w:rsid w:val="00FA4782"/>
    <w:rsid w:val="00FC4EB2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B5415-FCF6-4417-97D8-D5072EC8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047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0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0E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58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D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586"/>
  </w:style>
  <w:style w:type="paragraph" w:styleId="aa">
    <w:name w:val="footer"/>
    <w:basedOn w:val="a"/>
    <w:link w:val="ab"/>
    <w:uiPriority w:val="99"/>
    <w:unhideWhenUsed/>
    <w:rsid w:val="003D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586"/>
  </w:style>
  <w:style w:type="paragraph" w:styleId="ac">
    <w:name w:val="footnote text"/>
    <w:basedOn w:val="a"/>
    <w:link w:val="ad"/>
    <w:uiPriority w:val="99"/>
    <w:semiHidden/>
    <w:unhideWhenUsed/>
    <w:rsid w:val="00B600B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600B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00BF"/>
    <w:rPr>
      <w:vertAlign w:val="superscript"/>
    </w:rPr>
  </w:style>
  <w:style w:type="paragraph" w:styleId="af">
    <w:name w:val="Normal (Web)"/>
    <w:basedOn w:val="a"/>
    <w:uiPriority w:val="99"/>
    <w:unhideWhenUsed/>
    <w:rsid w:val="000F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BDE8-A499-4B39-BC39-4B530DE9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MOSGORTRANS</dc:creator>
  <cp:keywords/>
  <dc:description/>
  <cp:lastModifiedBy>User</cp:lastModifiedBy>
  <cp:revision>2</cp:revision>
  <dcterms:created xsi:type="dcterms:W3CDTF">2018-04-16T09:19:00Z</dcterms:created>
  <dcterms:modified xsi:type="dcterms:W3CDTF">2018-04-16T09:19:00Z</dcterms:modified>
</cp:coreProperties>
</file>