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6C" w:rsidRPr="00F44A8E" w:rsidRDefault="00C2786C" w:rsidP="00C2786C">
      <w:pPr>
        <w:rPr>
          <w:rFonts w:ascii="Times New Roman" w:hAnsi="Times New Roman" w:cs="Times New Roman"/>
          <w:b/>
          <w:sz w:val="56"/>
          <w:szCs w:val="56"/>
        </w:rPr>
      </w:pPr>
      <w:r w:rsidRPr="00F44A8E">
        <w:rPr>
          <w:rFonts w:ascii="Times New Roman" w:hAnsi="Times New Roman" w:cs="Times New Roman"/>
          <w:b/>
          <w:sz w:val="56"/>
          <w:szCs w:val="56"/>
        </w:rPr>
        <w:t>§2. Задачи и значение бирж.</w:t>
      </w:r>
    </w:p>
    <w:p w:rsidR="00C2786C" w:rsidRDefault="00C2786C" w:rsidP="00C2786C">
      <w:pPr>
        <w:rPr>
          <w:rFonts w:ascii="Times New Roman" w:hAnsi="Times New Roman" w:cs="Times New Roman"/>
          <w:sz w:val="36"/>
          <w:szCs w:val="36"/>
        </w:rPr>
      </w:pPr>
      <w:r w:rsidRPr="00F44A8E">
        <w:rPr>
          <w:rFonts w:ascii="Times New Roman" w:hAnsi="Times New Roman" w:cs="Times New Roman"/>
          <w:sz w:val="36"/>
          <w:szCs w:val="36"/>
        </w:rPr>
        <w:tab/>
        <w:t>§2.1. Цели, функции и задачи фондовой биржи.</w:t>
      </w:r>
    </w:p>
    <w:p w:rsidR="00C2786C" w:rsidRPr="009F126A" w:rsidRDefault="00C2786C" w:rsidP="00C2786C">
      <w:pPr>
        <w:rPr>
          <w:rFonts w:ascii="Times New Roman" w:hAnsi="Times New Roman" w:cs="Times New Roman"/>
          <w:sz w:val="28"/>
          <w:szCs w:val="28"/>
        </w:rPr>
      </w:pPr>
      <w:proofErr w:type="gramStart"/>
      <w:r w:rsidRPr="003611F6">
        <w:rPr>
          <w:rFonts w:ascii="Times New Roman" w:hAnsi="Times New Roman" w:cs="Times New Roman"/>
          <w:sz w:val="28"/>
          <w:szCs w:val="28"/>
        </w:rPr>
        <w:t>Как уже было сказано выше, главная цель биржевого механизма – аккумулировать финансовые ресурсы, незадействованные в производстве</w:t>
      </w:r>
      <w:r>
        <w:rPr>
          <w:rFonts w:ascii="Times New Roman" w:hAnsi="Times New Roman" w:cs="Times New Roman"/>
          <w:sz w:val="28"/>
          <w:szCs w:val="28"/>
        </w:rPr>
        <w:t xml:space="preserve"> в определенный момент времени, и обеспечить возможность их распределения в соответствии с необходимостью и положением разных участников торгов, осуществляется эта аккумуляция по средствам операций с различными финансовыми и производными от них инструментами, что позволяет перевести средства от инвесторов к эмитентам. </w:t>
      </w:r>
      <w:proofErr w:type="gramEnd"/>
    </w:p>
    <w:p w:rsidR="00C2786C" w:rsidRDefault="00C2786C" w:rsidP="00C2786C">
      <w:pPr>
        <w:rPr>
          <w:rFonts w:ascii="Times New Roman" w:hAnsi="Times New Roman" w:cs="Times New Roman"/>
          <w:sz w:val="28"/>
          <w:szCs w:val="28"/>
        </w:rPr>
      </w:pPr>
      <w:r w:rsidRPr="003611F6">
        <w:rPr>
          <w:rFonts w:ascii="Times New Roman" w:hAnsi="Times New Roman" w:cs="Times New Roman"/>
          <w:sz w:val="28"/>
          <w:szCs w:val="28"/>
        </w:rPr>
        <w:t xml:space="preserve"> Для определения и формулирования </w:t>
      </w:r>
      <w:r>
        <w:rPr>
          <w:rFonts w:ascii="Times New Roman" w:hAnsi="Times New Roman" w:cs="Times New Roman"/>
          <w:sz w:val="28"/>
          <w:szCs w:val="28"/>
        </w:rPr>
        <w:t xml:space="preserve">положения биржи в экономике, выделяются ее следующие задачи: </w:t>
      </w:r>
    </w:p>
    <w:p w:rsidR="00C2786C" w:rsidRPr="00CC6BB1"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w:t>
      </w:r>
      <w:r w:rsidRPr="003611F6">
        <w:rPr>
          <w:rFonts w:ascii="Times New Roman" w:hAnsi="Times New Roman" w:cs="Times New Roman"/>
          <w:sz w:val="28"/>
          <w:szCs w:val="28"/>
        </w:rPr>
        <w:t xml:space="preserve"> </w:t>
      </w:r>
      <w:r>
        <w:rPr>
          <w:rFonts w:ascii="Times New Roman" w:hAnsi="Times New Roman" w:cs="Times New Roman"/>
          <w:sz w:val="28"/>
          <w:szCs w:val="28"/>
        </w:rPr>
        <w:t>мобилизация временно свободных финансовых ресурсов для осуществления конкретных инвестиций</w:t>
      </w:r>
      <w:r w:rsidRPr="00CC6BB1">
        <w:rPr>
          <w:rFonts w:ascii="Times New Roman" w:hAnsi="Times New Roman" w:cs="Times New Roman"/>
          <w:sz w:val="28"/>
          <w:szCs w:val="28"/>
        </w:rPr>
        <w:t>;</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формирование торговой инфраструктуры, отвечающей мировому регламенту;</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развитие вторичного рынка (содействие развитию объемов спекулятивных (вторичная перепродажа ценных бумаг, товаров (на товарной бирже)) сделок)</w:t>
      </w:r>
      <w:r w:rsidRPr="00CC6BB1">
        <w:rPr>
          <w:rFonts w:ascii="Times New Roman" w:hAnsi="Times New Roman" w:cs="Times New Roman"/>
          <w:sz w:val="28"/>
          <w:szCs w:val="28"/>
        </w:rPr>
        <w:t>;</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Совершенствование механизма рыночных отношений  и системы регулирования;</w:t>
      </w:r>
    </w:p>
    <w:p w:rsidR="00C2786C" w:rsidRPr="00CC6BB1" w:rsidRDefault="00C2786C" w:rsidP="00C2786C">
      <w:pPr>
        <w:rPr>
          <w:rFonts w:ascii="Times New Roman" w:hAnsi="Times New Roman" w:cs="Times New Roman"/>
          <w:sz w:val="28"/>
          <w:szCs w:val="28"/>
        </w:rPr>
      </w:pPr>
      <w:r>
        <w:rPr>
          <w:rFonts w:ascii="Times New Roman" w:hAnsi="Times New Roman" w:cs="Times New Roman"/>
          <w:sz w:val="28"/>
          <w:szCs w:val="28"/>
        </w:rPr>
        <w:t>- Обеспечение реального контроля над фондовым капиталом на основе государственного регулирования</w:t>
      </w:r>
      <w:r w:rsidRPr="00CC6BB1">
        <w:rPr>
          <w:rFonts w:ascii="Times New Roman" w:hAnsi="Times New Roman" w:cs="Times New Roman"/>
          <w:sz w:val="28"/>
          <w:szCs w:val="28"/>
        </w:rPr>
        <w:t>;</w:t>
      </w:r>
    </w:p>
    <w:p w:rsidR="00C2786C" w:rsidRDefault="00C2786C" w:rsidP="00C2786C">
      <w:pPr>
        <w:rPr>
          <w:rFonts w:ascii="Times New Roman" w:hAnsi="Times New Roman" w:cs="Times New Roman"/>
          <w:sz w:val="28"/>
          <w:szCs w:val="28"/>
        </w:rPr>
      </w:pPr>
      <w:r w:rsidRPr="00CC6BB1">
        <w:rPr>
          <w:rFonts w:ascii="Times New Roman" w:hAnsi="Times New Roman" w:cs="Times New Roman"/>
          <w:sz w:val="28"/>
          <w:szCs w:val="28"/>
        </w:rPr>
        <w:t xml:space="preserve">- </w:t>
      </w:r>
      <w:r>
        <w:rPr>
          <w:rFonts w:ascii="Times New Roman" w:hAnsi="Times New Roman" w:cs="Times New Roman"/>
          <w:sz w:val="28"/>
          <w:szCs w:val="28"/>
        </w:rPr>
        <w:t>Уменьшение инвестиционного риска (требования к открытости и достоверности информации);</w:t>
      </w:r>
    </w:p>
    <w:p w:rsidR="00C2786C" w:rsidRPr="00CC6BB1" w:rsidRDefault="00C2786C" w:rsidP="00C2786C">
      <w:pPr>
        <w:rPr>
          <w:rFonts w:ascii="Times New Roman" w:hAnsi="Times New Roman" w:cs="Times New Roman"/>
          <w:sz w:val="28"/>
          <w:szCs w:val="28"/>
        </w:rPr>
      </w:pPr>
      <w:r>
        <w:rPr>
          <w:rFonts w:ascii="Times New Roman" w:hAnsi="Times New Roman" w:cs="Times New Roman"/>
          <w:sz w:val="28"/>
          <w:szCs w:val="28"/>
        </w:rPr>
        <w:t>- Формирование портфельных стратегий (подбор определенных ценных бумаг, для игры на разных рынках и при разных тенденциях изменения котировок)</w:t>
      </w:r>
      <w:r w:rsidRPr="00CC6BB1">
        <w:rPr>
          <w:rFonts w:ascii="Times New Roman" w:hAnsi="Times New Roman" w:cs="Times New Roman"/>
          <w:sz w:val="28"/>
          <w:szCs w:val="28"/>
        </w:rPr>
        <w:t>;</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Прогнозирование перспективных направлений развития (еще один способ способствования распределения финансовых ресурсов в соответствии с действительной необходимостью).</w:t>
      </w:r>
    </w:p>
    <w:p w:rsidR="00C2786C" w:rsidRPr="00855914" w:rsidRDefault="00C2786C" w:rsidP="00C2786C">
      <w:pPr>
        <w:rPr>
          <w:rFonts w:ascii="Times New Roman" w:hAnsi="Times New Roman" w:cs="Times New Roman"/>
          <w:sz w:val="28"/>
          <w:szCs w:val="28"/>
        </w:rPr>
      </w:pPr>
      <w:r>
        <w:rPr>
          <w:rFonts w:ascii="Times New Roman" w:hAnsi="Times New Roman" w:cs="Times New Roman"/>
          <w:sz w:val="28"/>
          <w:szCs w:val="28"/>
        </w:rPr>
        <w:lastRenderedPageBreak/>
        <w:t>Исходя из выше обозначенных задач и целей работы биржи, можно выделить несколько функций, которые она выполняет</w:t>
      </w:r>
      <w:r w:rsidRPr="00855914">
        <w:rPr>
          <w:rFonts w:ascii="Times New Roman" w:hAnsi="Times New Roman" w:cs="Times New Roman"/>
          <w:sz w:val="28"/>
          <w:szCs w:val="28"/>
        </w:rPr>
        <w:t>:</w:t>
      </w:r>
    </w:p>
    <w:p w:rsidR="00C2786C" w:rsidRDefault="00C2786C" w:rsidP="00C278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Учетная (На ряду с организатором и определителем действительных цен биржа,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и учетного органа, приводя некоторые статистики, тенденции и прочие математические величины, отражающие положение на рынке)</w:t>
      </w:r>
      <w:r w:rsidRPr="00855914">
        <w:rPr>
          <w:rFonts w:ascii="Times New Roman" w:hAnsi="Times New Roman" w:cs="Times New Roman"/>
          <w:sz w:val="28"/>
          <w:szCs w:val="28"/>
        </w:rPr>
        <w:t>;</w:t>
      </w:r>
    </w:p>
    <w:p w:rsidR="00C2786C" w:rsidRDefault="00C2786C" w:rsidP="00C278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Контрольная</w:t>
      </w:r>
      <w:r w:rsidRPr="00855914">
        <w:rPr>
          <w:rFonts w:ascii="Times New Roman" w:hAnsi="Times New Roman" w:cs="Times New Roman"/>
          <w:sz w:val="28"/>
          <w:szCs w:val="28"/>
        </w:rPr>
        <w:t>;</w:t>
      </w:r>
    </w:p>
    <w:p w:rsidR="00C2786C" w:rsidRDefault="00C2786C" w:rsidP="00C278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Согласование спроса и предложения</w:t>
      </w:r>
      <w:r w:rsidRPr="00855914">
        <w:rPr>
          <w:rFonts w:ascii="Times New Roman" w:hAnsi="Times New Roman" w:cs="Times New Roman"/>
          <w:sz w:val="28"/>
          <w:szCs w:val="28"/>
        </w:rPr>
        <w:t>;</w:t>
      </w:r>
    </w:p>
    <w:p w:rsidR="00C2786C" w:rsidRDefault="00C2786C" w:rsidP="00C278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Стимулирующая</w:t>
      </w:r>
      <w:r w:rsidRPr="00855914">
        <w:rPr>
          <w:rFonts w:ascii="Times New Roman" w:hAnsi="Times New Roman" w:cs="Times New Roman"/>
          <w:sz w:val="28"/>
          <w:szCs w:val="28"/>
        </w:rPr>
        <w:t>;</w:t>
      </w:r>
    </w:p>
    <w:p w:rsidR="00C2786C" w:rsidRDefault="00C2786C" w:rsidP="00C278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Перераспределяющая</w:t>
      </w:r>
      <w:r w:rsidRPr="00855914">
        <w:rPr>
          <w:rFonts w:ascii="Times New Roman" w:hAnsi="Times New Roman" w:cs="Times New Roman"/>
          <w:sz w:val="28"/>
          <w:szCs w:val="28"/>
        </w:rPr>
        <w:t>;</w:t>
      </w:r>
    </w:p>
    <w:p w:rsidR="00C2786C" w:rsidRDefault="00C2786C" w:rsidP="00C2786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Регулирующая</w:t>
      </w:r>
      <w:r w:rsidRPr="00855914">
        <w:rPr>
          <w:rFonts w:ascii="Times New Roman" w:hAnsi="Times New Roman" w:cs="Times New Roman"/>
          <w:sz w:val="28"/>
          <w:szCs w:val="28"/>
        </w:rPr>
        <w:t>.</w:t>
      </w:r>
    </w:p>
    <w:p w:rsidR="00C2786C" w:rsidRPr="00855914" w:rsidRDefault="00C2786C" w:rsidP="00C2786C">
      <w:pPr>
        <w:rPr>
          <w:rFonts w:ascii="Times New Roman" w:hAnsi="Times New Roman" w:cs="Times New Roman"/>
          <w:sz w:val="28"/>
          <w:szCs w:val="28"/>
        </w:rPr>
      </w:pPr>
      <w:r w:rsidRPr="00855914">
        <w:rPr>
          <w:rFonts w:ascii="Times New Roman" w:hAnsi="Times New Roman" w:cs="Times New Roman"/>
          <w:sz w:val="28"/>
          <w:szCs w:val="28"/>
        </w:rPr>
        <w:t xml:space="preserve"> </w:t>
      </w:r>
    </w:p>
    <w:p w:rsidR="00C2786C" w:rsidRPr="00CC6BB1" w:rsidRDefault="00C2786C" w:rsidP="00C2786C">
      <w:pPr>
        <w:rPr>
          <w:rFonts w:ascii="Times New Roman" w:hAnsi="Times New Roman" w:cs="Times New Roman"/>
          <w:sz w:val="28"/>
          <w:szCs w:val="28"/>
        </w:rPr>
      </w:pPr>
      <w:r w:rsidRPr="00CC6BB1">
        <w:rPr>
          <w:rFonts w:ascii="Times New Roman" w:hAnsi="Times New Roman" w:cs="Times New Roman"/>
          <w:sz w:val="28"/>
          <w:szCs w:val="28"/>
        </w:rPr>
        <w:t xml:space="preserve"> </w:t>
      </w:r>
      <w:r>
        <w:rPr>
          <w:rFonts w:ascii="Times New Roman" w:hAnsi="Times New Roman" w:cs="Times New Roman"/>
          <w:sz w:val="28"/>
          <w:szCs w:val="28"/>
        </w:rPr>
        <w:tab/>
      </w:r>
    </w:p>
    <w:p w:rsidR="00C2786C" w:rsidRPr="003611F6" w:rsidRDefault="00C2786C" w:rsidP="00C2786C">
      <w:pPr>
        <w:rPr>
          <w:sz w:val="28"/>
          <w:szCs w:val="28"/>
        </w:rPr>
      </w:pPr>
    </w:p>
    <w:p w:rsidR="00C2786C" w:rsidRPr="003A431B" w:rsidRDefault="00C2786C" w:rsidP="00C2786C"/>
    <w:p w:rsidR="00C2786C" w:rsidRDefault="00C2786C" w:rsidP="00C2786C"/>
    <w:p w:rsidR="00C2786C" w:rsidRDefault="00C2786C" w:rsidP="00C2786C"/>
    <w:p w:rsidR="00C2786C" w:rsidRPr="004402BA" w:rsidRDefault="00C2786C" w:rsidP="00C2786C"/>
    <w:p w:rsidR="00C2786C" w:rsidRPr="00855914" w:rsidRDefault="00C2786C" w:rsidP="00C2786C">
      <w:pPr>
        <w:jc w:val="center"/>
        <w:rPr>
          <w:rFonts w:ascii="Times New Roman" w:hAnsi="Times New Roman" w:cs="Times New Roman"/>
          <w:sz w:val="36"/>
          <w:szCs w:val="36"/>
        </w:rPr>
      </w:pPr>
      <w:r>
        <w:rPr>
          <w:rFonts w:ascii="Times New Roman" w:hAnsi="Times New Roman" w:cs="Times New Roman"/>
          <w:sz w:val="36"/>
          <w:szCs w:val="36"/>
        </w:rPr>
        <w:t>§2.2. Капитализация,</w:t>
      </w:r>
      <w:r w:rsidRPr="00855914">
        <w:rPr>
          <w:rFonts w:ascii="Times New Roman" w:hAnsi="Times New Roman" w:cs="Times New Roman"/>
          <w:sz w:val="36"/>
          <w:szCs w:val="36"/>
        </w:rPr>
        <w:t xml:space="preserve"> ликвидность рынка</w:t>
      </w:r>
      <w:r>
        <w:rPr>
          <w:rFonts w:ascii="Times New Roman" w:hAnsi="Times New Roman" w:cs="Times New Roman"/>
          <w:sz w:val="36"/>
          <w:szCs w:val="36"/>
        </w:rPr>
        <w:t>, системы контроля рынка</w:t>
      </w:r>
      <w:r w:rsidRPr="00855914">
        <w:rPr>
          <w:rFonts w:ascii="Times New Roman" w:hAnsi="Times New Roman" w:cs="Times New Roman"/>
          <w:sz w:val="36"/>
          <w:szCs w:val="36"/>
        </w:rPr>
        <w:t xml:space="preserve"> ценных бумаг.</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ab/>
        <w:t xml:space="preserve">Как уже было сказано, биржа </w:t>
      </w:r>
      <w:proofErr w:type="gramStart"/>
      <w:r>
        <w:rPr>
          <w:rFonts w:ascii="Times New Roman" w:hAnsi="Times New Roman" w:cs="Times New Roman"/>
          <w:sz w:val="28"/>
          <w:szCs w:val="28"/>
        </w:rPr>
        <w:t>на ряду</w:t>
      </w:r>
      <w:proofErr w:type="gramEnd"/>
      <w:r>
        <w:rPr>
          <w:rFonts w:ascii="Times New Roman" w:hAnsi="Times New Roman" w:cs="Times New Roman"/>
          <w:sz w:val="28"/>
          <w:szCs w:val="28"/>
        </w:rPr>
        <w:t xml:space="preserve"> с иными функциями выполняет и роль учетного органа. Одной из статистических величин, отражающих интенсивность, масштабность и значимость биржевого торга, является уровень капитализации, в частности отношение, в котором он находится с ВВП той или иной страны. Уровень капитализации отражает суммарную стоимость всех ценных бумаг, котирующихся на рынке, на момент статистического учета. </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Как было сказано раннее, уровень капитализации и его отношение к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 xml:space="preserve">аны отражают значимость для развития экономики и капиталистических предприятий в частности рынка ценных бумаг. </w:t>
      </w:r>
      <w:proofErr w:type="gramStart"/>
      <w:r>
        <w:rPr>
          <w:rFonts w:ascii="Times New Roman" w:hAnsi="Times New Roman" w:cs="Times New Roman"/>
          <w:sz w:val="28"/>
          <w:szCs w:val="28"/>
        </w:rPr>
        <w:t xml:space="preserve">Например, сравнивая показатели стран континентальной Европы со странами англосаксонскими или же теми, что были долгое время под влиянием Англии, можно увидеть, что для последних значимость рынка ценных бумаг выше, чем для </w:t>
      </w:r>
      <w:r>
        <w:rPr>
          <w:rFonts w:ascii="Times New Roman" w:hAnsi="Times New Roman" w:cs="Times New Roman"/>
          <w:sz w:val="28"/>
          <w:szCs w:val="28"/>
        </w:rPr>
        <w:lastRenderedPageBreak/>
        <w:t>континентальных государств (на конец 2005 г. Англия – общая капитализация 3058 млрд. дол., а отношение к ВВП страны – 133 %, в то время, как в Германии общая капитализация в тот же</w:t>
      </w:r>
      <w:proofErr w:type="gramEnd"/>
      <w:r>
        <w:rPr>
          <w:rFonts w:ascii="Times New Roman" w:hAnsi="Times New Roman" w:cs="Times New Roman"/>
          <w:sz w:val="28"/>
          <w:szCs w:val="28"/>
        </w:rPr>
        <w:t xml:space="preserve"> период времени составила 1221 млрд. дол., а отношение к ВВП – 42%), безусловно, данные отличия обусловлены многими факторами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географических, до </w:t>
      </w:r>
      <w:proofErr w:type="spellStart"/>
      <w:r>
        <w:rPr>
          <w:rFonts w:ascii="Times New Roman" w:hAnsi="Times New Roman" w:cs="Times New Roman"/>
          <w:sz w:val="28"/>
          <w:szCs w:val="28"/>
        </w:rPr>
        <w:t>духовно-мировозренческих</w:t>
      </w:r>
      <w:proofErr w:type="spellEnd"/>
      <w:r>
        <w:rPr>
          <w:rFonts w:ascii="Times New Roman" w:hAnsi="Times New Roman" w:cs="Times New Roman"/>
          <w:sz w:val="28"/>
          <w:szCs w:val="28"/>
        </w:rPr>
        <w:t>, но это нашло свое отражение и подтверждение в таких статистических данных.</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Поскольку на рынках акций по всему миру котируются ценные бумаги тысяч различных компаний, были созданы статистические инструменты, способствующие отслеживанию темпов развития фондовых рынков. Они  отражают общую капитализацию определенных компаний разных стран, в то же время некоторые финансовые инструменты, производные от этих  индексов торгуются на рынках ценных бумаг, например, расчетные фьючерсы, базовым активом которых является индекс S&amp;P 500, торгуются на   </w:t>
      </w:r>
      <w:proofErr w:type="spellStart"/>
      <w:proofErr w:type="gramStart"/>
      <w:r>
        <w:rPr>
          <w:rFonts w:ascii="Times New Roman" w:hAnsi="Times New Roman" w:cs="Times New Roman"/>
          <w:sz w:val="28"/>
          <w:szCs w:val="28"/>
        </w:rPr>
        <w:t>на</w:t>
      </w:r>
      <w:proofErr w:type="spellEnd"/>
      <w:proofErr w:type="gramEnd"/>
      <w:r>
        <w:rPr>
          <w:rFonts w:ascii="Times New Roman" w:hAnsi="Times New Roman" w:cs="Times New Roman"/>
          <w:sz w:val="28"/>
          <w:szCs w:val="28"/>
        </w:rPr>
        <w:t xml:space="preserve"> CME, так же на колебаниях котировок этих индексов происходят множественные сделки на </w:t>
      </w:r>
      <w:proofErr w:type="spellStart"/>
      <w:r>
        <w:rPr>
          <w:rFonts w:ascii="Times New Roman" w:hAnsi="Times New Roman" w:cs="Times New Roman"/>
          <w:sz w:val="28"/>
          <w:szCs w:val="28"/>
        </w:rPr>
        <w:t>трейдерских</w:t>
      </w:r>
      <w:proofErr w:type="spellEnd"/>
      <w:r>
        <w:rPr>
          <w:rFonts w:ascii="Times New Roman" w:hAnsi="Times New Roman" w:cs="Times New Roman"/>
          <w:sz w:val="28"/>
          <w:szCs w:val="28"/>
        </w:rPr>
        <w:t xml:space="preserve"> платформах.</w:t>
      </w:r>
      <w:r w:rsidRPr="0051543B">
        <w:rPr>
          <w:rFonts w:ascii="Times New Roman" w:hAnsi="Times New Roman" w:cs="Times New Roman"/>
          <w:sz w:val="28"/>
          <w:szCs w:val="28"/>
        </w:rPr>
        <w:t xml:space="preserve"> </w:t>
      </w:r>
      <w:r>
        <w:rPr>
          <w:rFonts w:ascii="Times New Roman" w:hAnsi="Times New Roman" w:cs="Times New Roman"/>
          <w:sz w:val="28"/>
          <w:szCs w:val="28"/>
        </w:rPr>
        <w:t>Одними из самых известных и дорогих индексов являются «промышленный индекс Доу-Джонса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«промышленный» является исторически устоявшейся частью названия индекса, т.к. в данный момент большинство из компаний, стоимость чьих акций принимается в расчет индекса, не заняты в этой сфере), </w:t>
      </w:r>
      <w:r>
        <w:rPr>
          <w:rFonts w:ascii="Times New Roman" w:hAnsi="Times New Roman" w:cs="Times New Roman"/>
          <w:sz w:val="28"/>
          <w:szCs w:val="28"/>
          <w:lang w:val="en-US"/>
        </w:rPr>
        <w:t>DAX</w:t>
      </w:r>
      <w:r w:rsidRPr="00772D3D">
        <w:rPr>
          <w:rFonts w:ascii="Times New Roman" w:hAnsi="Times New Roman" w:cs="Times New Roman"/>
          <w:sz w:val="28"/>
          <w:szCs w:val="28"/>
        </w:rPr>
        <w:t xml:space="preserve"> (важнейший индекс Германии</w:t>
      </w:r>
      <w:r>
        <w:rPr>
          <w:rFonts w:ascii="Times New Roman" w:hAnsi="Times New Roman" w:cs="Times New Roman"/>
          <w:sz w:val="28"/>
          <w:szCs w:val="28"/>
        </w:rPr>
        <w:t xml:space="preserve">, в расчет средне взвешенного которого входят стоимости тридцати крупнейших акционерных компаний Германии) и </w:t>
      </w:r>
      <w:r>
        <w:rPr>
          <w:rFonts w:ascii="Times New Roman" w:hAnsi="Times New Roman" w:cs="Times New Roman"/>
          <w:sz w:val="28"/>
          <w:szCs w:val="28"/>
          <w:lang w:val="en-US"/>
        </w:rPr>
        <w:t>S</w:t>
      </w:r>
      <w:r w:rsidRPr="00772D3D">
        <w:rPr>
          <w:rFonts w:ascii="Times New Roman" w:hAnsi="Times New Roman" w:cs="Times New Roman"/>
          <w:sz w:val="28"/>
          <w:szCs w:val="28"/>
        </w:rPr>
        <w:t>&amp;</w:t>
      </w:r>
      <w:r>
        <w:rPr>
          <w:rFonts w:ascii="Times New Roman" w:hAnsi="Times New Roman" w:cs="Times New Roman"/>
          <w:sz w:val="28"/>
          <w:szCs w:val="28"/>
          <w:lang w:val="en-US"/>
        </w:rPr>
        <w:t>P</w:t>
      </w:r>
      <w:r w:rsidRPr="00772D3D">
        <w:rPr>
          <w:rFonts w:ascii="Times New Roman" w:hAnsi="Times New Roman" w:cs="Times New Roman"/>
          <w:sz w:val="28"/>
          <w:szCs w:val="28"/>
        </w:rPr>
        <w:t xml:space="preserve"> 500 (</w:t>
      </w:r>
      <w:r>
        <w:rPr>
          <w:rFonts w:ascii="Times New Roman" w:hAnsi="Times New Roman" w:cs="Times New Roman"/>
          <w:sz w:val="28"/>
          <w:szCs w:val="28"/>
        </w:rPr>
        <w:t xml:space="preserve">фондовый индекс, </w:t>
      </w:r>
      <w:proofErr w:type="gramStart"/>
      <w:r>
        <w:rPr>
          <w:rFonts w:ascii="Times New Roman" w:hAnsi="Times New Roman" w:cs="Times New Roman"/>
          <w:sz w:val="28"/>
          <w:szCs w:val="28"/>
        </w:rPr>
        <w:t>охватывающий</w:t>
      </w:r>
      <w:proofErr w:type="gramEnd"/>
      <w:r>
        <w:rPr>
          <w:rFonts w:ascii="Times New Roman" w:hAnsi="Times New Roman" w:cs="Times New Roman"/>
          <w:sz w:val="28"/>
          <w:szCs w:val="28"/>
        </w:rPr>
        <w:t xml:space="preserve"> 500 крупнейших компаний-эмитентов США).</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Помимо капитализации, одни</w:t>
      </w:r>
      <w:r w:rsidRPr="00524166">
        <w:rPr>
          <w:rFonts w:ascii="Times New Roman" w:hAnsi="Times New Roman" w:cs="Times New Roman"/>
          <w:sz w:val="28"/>
          <w:szCs w:val="28"/>
        </w:rPr>
        <w:t>м</w:t>
      </w:r>
      <w:r>
        <w:rPr>
          <w:rFonts w:ascii="Times New Roman" w:hAnsi="Times New Roman" w:cs="Times New Roman"/>
          <w:sz w:val="28"/>
          <w:szCs w:val="28"/>
        </w:rPr>
        <w:t xml:space="preserve"> из важнейших показателей успешности работы фондового рынка является уровень его ликвидности. Этот показатель включает в себя несколько расчетных единиц: структура собственности (доли, с которыми распределены акции между различными участниками торгов) и отношение «</w:t>
      </w:r>
      <w:proofErr w:type="spellStart"/>
      <w:r>
        <w:rPr>
          <w:rFonts w:ascii="Times New Roman" w:hAnsi="Times New Roman" w:cs="Times New Roman"/>
          <w:sz w:val="28"/>
          <w:szCs w:val="28"/>
        </w:rPr>
        <w:t>оборот\капитализация</w:t>
      </w:r>
      <w:proofErr w:type="spellEnd"/>
      <w:r>
        <w:rPr>
          <w:rFonts w:ascii="Times New Roman" w:hAnsi="Times New Roman" w:cs="Times New Roman"/>
          <w:sz w:val="28"/>
          <w:szCs w:val="28"/>
        </w:rPr>
        <w:t xml:space="preserve">». </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Эти показатели являются важными для оценки уровня развития акционерной собственности, поскольку доли, с которыми распределены акции между различными типами собственников (такими как: финансовые учреждения, банки, нефинансовые учреждения, население, государственные органы) показывает, какая система корпоративного контроля имеет место быть в экономике той или иной страны и насколько развит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Отношение же </w:t>
      </w:r>
      <w:proofErr w:type="spellStart"/>
      <w:r>
        <w:rPr>
          <w:rFonts w:ascii="Times New Roman" w:hAnsi="Times New Roman" w:cs="Times New Roman"/>
          <w:sz w:val="28"/>
          <w:szCs w:val="28"/>
        </w:rPr>
        <w:t>оборот\капитализация</w:t>
      </w:r>
      <w:proofErr w:type="spellEnd"/>
      <w:r>
        <w:rPr>
          <w:rFonts w:ascii="Times New Roman" w:hAnsi="Times New Roman" w:cs="Times New Roman"/>
          <w:sz w:val="28"/>
          <w:szCs w:val="28"/>
        </w:rPr>
        <w:t xml:space="preserve"> показывает уровень развитости вторичного рынка, в то же время помогая оценить объем действительной капитализации (ведь </w:t>
      </w:r>
      <w:r>
        <w:rPr>
          <w:rFonts w:ascii="Times New Roman" w:hAnsi="Times New Roman" w:cs="Times New Roman"/>
          <w:sz w:val="28"/>
          <w:szCs w:val="28"/>
        </w:rPr>
        <w:lastRenderedPageBreak/>
        <w:t>уровень капитализации вычисляется по суммам стоимостей всех акций, котирующихся на бирже, а не только тех, что были проданы).</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Так же стоит упомянуть, что в экономической литературе определяются две модели систем корпоративного контроля: </w:t>
      </w:r>
      <w:proofErr w:type="spellStart"/>
      <w:r>
        <w:rPr>
          <w:rFonts w:ascii="Times New Roman" w:hAnsi="Times New Roman" w:cs="Times New Roman"/>
          <w:sz w:val="28"/>
          <w:szCs w:val="28"/>
        </w:rPr>
        <w:t>Инсайдерская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insider</w:t>
      </w:r>
      <w:proofErr w:type="spellEnd"/>
      <w:r>
        <w:rPr>
          <w:rFonts w:ascii="Times New Roman" w:hAnsi="Times New Roman" w:cs="Times New Roman"/>
          <w:sz w:val="28"/>
          <w:szCs w:val="28"/>
        </w:rPr>
        <w:t>) и Аутсайдерская (</w:t>
      </w:r>
      <w:proofErr w:type="spellStart"/>
      <w:r>
        <w:rPr>
          <w:rFonts w:ascii="Times New Roman" w:hAnsi="Times New Roman" w:cs="Times New Roman"/>
          <w:sz w:val="28"/>
          <w:szCs w:val="28"/>
        </w:rPr>
        <w:t>outsider</w:t>
      </w:r>
      <w:proofErr w:type="spellEnd"/>
      <w:r>
        <w:rPr>
          <w:rFonts w:ascii="Times New Roman" w:hAnsi="Times New Roman" w:cs="Times New Roman"/>
          <w:sz w:val="28"/>
          <w:szCs w:val="28"/>
        </w:rPr>
        <w:t>).</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Инсайдерская</w:t>
      </w:r>
      <w:proofErr w:type="spellEnd"/>
      <w:r>
        <w:rPr>
          <w:rFonts w:ascii="Times New Roman" w:hAnsi="Times New Roman" w:cs="Times New Roman"/>
          <w:sz w:val="28"/>
          <w:szCs w:val="28"/>
        </w:rPr>
        <w:t xml:space="preserve"> модель свойственна большинству стран мира, для этой системы характерны большие акционерные пакеты и широкое распространение перекрестного владения акциями. Обладание большими пакетами акций у лиц, представляющих интересы эмитента, </w:t>
      </w:r>
      <w:proofErr w:type="gramStart"/>
      <w:r>
        <w:rPr>
          <w:rFonts w:ascii="Times New Roman" w:hAnsi="Times New Roman" w:cs="Times New Roman"/>
          <w:sz w:val="28"/>
          <w:szCs w:val="28"/>
        </w:rPr>
        <w:t>какой то</w:t>
      </w:r>
      <w:proofErr w:type="gramEnd"/>
      <w:r>
        <w:rPr>
          <w:rFonts w:ascii="Times New Roman" w:hAnsi="Times New Roman" w:cs="Times New Roman"/>
          <w:sz w:val="28"/>
          <w:szCs w:val="28"/>
        </w:rPr>
        <w:t xml:space="preserve"> организации или свои собственные позволяет проводить различные политики, без оглядки на мнения мелких акционеров. </w:t>
      </w:r>
      <w:proofErr w:type="gramStart"/>
      <w:r>
        <w:rPr>
          <w:rFonts w:ascii="Times New Roman" w:hAnsi="Times New Roman" w:cs="Times New Roman"/>
          <w:sz w:val="28"/>
          <w:szCs w:val="28"/>
        </w:rPr>
        <w:t xml:space="preserve">Так же </w:t>
      </w:r>
      <w:r w:rsidRPr="005425EF">
        <w:rPr>
          <w:rFonts w:ascii="Times New Roman" w:hAnsi="Times New Roman" w:cs="Times New Roman"/>
          <w:sz w:val="28"/>
          <w:szCs w:val="28"/>
        </w:rPr>
        <w:t>одним из главных критериев, отличающих данную модел</w:t>
      </w:r>
      <w:r>
        <w:rPr>
          <w:rFonts w:ascii="Times New Roman" w:hAnsi="Times New Roman" w:cs="Times New Roman"/>
          <w:sz w:val="28"/>
          <w:szCs w:val="28"/>
        </w:rPr>
        <w:t>ь контроля от другой, является то, что подобное распределение контрольных пакетов акций (во многих странах Европы – банки, в Азиатских – государство и семьи-основатели корпораций) делает практически невозможным «враждебное поглощение» конкурирующей организацией.</w:t>
      </w:r>
      <w:proofErr w:type="gramEnd"/>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Аутсайдерска</w:t>
      </w:r>
      <w:proofErr w:type="spellEnd"/>
      <w:r>
        <w:rPr>
          <w:rFonts w:ascii="Times New Roman" w:hAnsi="Times New Roman" w:cs="Times New Roman"/>
          <w:sz w:val="28"/>
          <w:szCs w:val="28"/>
        </w:rPr>
        <w:t xml:space="preserve"> же модель управления заключается в том, что собственность акционерных компаний принадлежит широкому кругу индивидуальных и институциональных собственников.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этого существует система отличительной защиты интересов мелких </w:t>
      </w:r>
      <w:proofErr w:type="spellStart"/>
      <w:r>
        <w:rPr>
          <w:rFonts w:ascii="Times New Roman" w:hAnsi="Times New Roman" w:cs="Times New Roman"/>
          <w:sz w:val="28"/>
          <w:szCs w:val="28"/>
        </w:rPr>
        <w:t>инвестеров</w:t>
      </w:r>
      <w:proofErr w:type="spellEnd"/>
      <w:r>
        <w:rPr>
          <w:rFonts w:ascii="Times New Roman" w:hAnsi="Times New Roman" w:cs="Times New Roman"/>
          <w:sz w:val="28"/>
          <w:szCs w:val="28"/>
        </w:rPr>
        <w:t xml:space="preserve">, заключающаяся в более широком открытии информации и большей возможности перепродажи ценных бумаг, </w:t>
      </w:r>
      <w:proofErr w:type="spellStart"/>
      <w:r>
        <w:rPr>
          <w:rFonts w:ascii="Times New Roman" w:hAnsi="Times New Roman" w:cs="Times New Roman"/>
          <w:sz w:val="28"/>
          <w:szCs w:val="28"/>
        </w:rPr>
        <w:t>засчет</w:t>
      </w:r>
      <w:proofErr w:type="spellEnd"/>
      <w:r>
        <w:rPr>
          <w:rFonts w:ascii="Times New Roman" w:hAnsi="Times New Roman" w:cs="Times New Roman"/>
          <w:sz w:val="28"/>
          <w:szCs w:val="28"/>
        </w:rPr>
        <w:t xml:space="preserve"> большего числа отдельных участников торговли, что свою очередь отражается в более высоком уровне ликвидности рынка. Безусловно, при данной модели распределения повышаются и риски внешнего влияния на цены акций, поскольку инсайдеры не имеют возможности контролировать курс акций, по средствам скупки или продажи больших пакетов акций, что открывает больше возможностей для «враждебного поглощения», ведущего к смене менеджмента.</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Уже долгое время ведутся множественные споры между учеными в этой сфере, какая же модель корпоративного управления стабильнее, лучше и прибыльнее. Многие не безосновно высказываются в пользу </w:t>
      </w:r>
      <w:proofErr w:type="spellStart"/>
      <w:r>
        <w:rPr>
          <w:rFonts w:ascii="Times New Roman" w:hAnsi="Times New Roman" w:cs="Times New Roman"/>
          <w:sz w:val="28"/>
          <w:szCs w:val="28"/>
        </w:rPr>
        <w:t>инсайдерской</w:t>
      </w:r>
      <w:proofErr w:type="spellEnd"/>
      <w:r>
        <w:rPr>
          <w:rFonts w:ascii="Times New Roman" w:hAnsi="Times New Roman" w:cs="Times New Roman"/>
          <w:sz w:val="28"/>
          <w:szCs w:val="28"/>
        </w:rPr>
        <w:t xml:space="preserve"> модели, поскольку она позволяет сократить риски и по средствам обладания больших пакетов акций одним лицом, вести долговременную политику развития. Именно в погоне за сиюминутными интересами (погоней за высокими дивидендами) находят главный изъян аутсайдерской модели. </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lastRenderedPageBreak/>
        <w:t xml:space="preserve"> Но вместе с тем, как промышленность с раннего этапа своего развития, когда действительно была необходима </w:t>
      </w:r>
      <w:proofErr w:type="spellStart"/>
      <w:r>
        <w:rPr>
          <w:rFonts w:ascii="Times New Roman" w:hAnsi="Times New Roman" w:cs="Times New Roman"/>
          <w:sz w:val="28"/>
          <w:szCs w:val="28"/>
        </w:rPr>
        <w:t>инсайдерская</w:t>
      </w:r>
      <w:proofErr w:type="spellEnd"/>
      <w:r>
        <w:rPr>
          <w:rFonts w:ascii="Times New Roman" w:hAnsi="Times New Roman" w:cs="Times New Roman"/>
          <w:sz w:val="28"/>
          <w:szCs w:val="28"/>
        </w:rPr>
        <w:t xml:space="preserve"> система контроля, перешла к наукоемкому, то выявилась необходимость в более гибком реагировании на изменения рынка, а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же в более широком круге </w:t>
      </w:r>
      <w:proofErr w:type="spellStart"/>
      <w:r>
        <w:rPr>
          <w:rFonts w:ascii="Times New Roman" w:hAnsi="Times New Roman" w:cs="Times New Roman"/>
          <w:sz w:val="28"/>
          <w:szCs w:val="28"/>
        </w:rPr>
        <w:t>инвестеров</w:t>
      </w:r>
      <w:proofErr w:type="spellEnd"/>
      <w:r>
        <w:rPr>
          <w:rFonts w:ascii="Times New Roman" w:hAnsi="Times New Roman" w:cs="Times New Roman"/>
          <w:sz w:val="28"/>
          <w:szCs w:val="28"/>
        </w:rPr>
        <w:t xml:space="preserve">, что, как было сказано, свойственно аутсайдерской системе. </w:t>
      </w:r>
    </w:p>
    <w:p w:rsidR="00C2786C" w:rsidRDefault="00C2786C" w:rsidP="00C2786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этого ОЭСР в 1998 г. Приняла эталонные механизмы корпоративного управления (</w:t>
      </w:r>
      <w:r>
        <w:rPr>
          <w:rFonts w:ascii="Times New Roman" w:hAnsi="Times New Roman" w:cs="Times New Roman"/>
          <w:sz w:val="28"/>
          <w:szCs w:val="28"/>
          <w:lang w:val="en-US"/>
        </w:rPr>
        <w:t>O</w:t>
      </w:r>
      <w:r>
        <w:rPr>
          <w:rFonts w:ascii="Times New Roman" w:hAnsi="Times New Roman" w:cs="Times New Roman"/>
          <w:sz w:val="28"/>
          <w:szCs w:val="28"/>
        </w:rPr>
        <w:t>ECD), позаимствованные из англо-американской практики корпоративного управления.</w:t>
      </w:r>
    </w:p>
    <w:p w:rsidR="00BE056F" w:rsidRPr="00C2786C" w:rsidRDefault="00C2786C">
      <w:pPr>
        <w:rPr>
          <w:rFonts w:ascii="Times New Roman" w:hAnsi="Times New Roman" w:cs="Times New Roman"/>
          <w:i/>
          <w:sz w:val="28"/>
          <w:szCs w:val="28"/>
        </w:rPr>
      </w:pPr>
      <w:proofErr w:type="gramStart"/>
      <w:r>
        <w:rPr>
          <w:rFonts w:ascii="Times New Roman" w:hAnsi="Times New Roman" w:cs="Times New Roman"/>
          <w:i/>
          <w:sz w:val="28"/>
          <w:szCs w:val="28"/>
        </w:rPr>
        <w:t>Биржа выполняет множественные функции, являющимися неотъемлемыми в предпринимательстве, государственной экономике и регулировании торговых отношений.</w:t>
      </w:r>
      <w:proofErr w:type="gramEnd"/>
    </w:p>
    <w:sectPr w:rsidR="00BE056F" w:rsidRPr="00C2786C" w:rsidSect="00BE0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21A4"/>
    <w:multiLevelType w:val="hybridMultilevel"/>
    <w:tmpl w:val="096A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786C"/>
    <w:rsid w:val="006A1A73"/>
    <w:rsid w:val="00BE056F"/>
    <w:rsid w:val="00C2786C"/>
    <w:rsid w:val="00F3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8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2018-02-11T10:47:00Z</dcterms:created>
  <dcterms:modified xsi:type="dcterms:W3CDTF">2018-02-11T10:50:00Z</dcterms:modified>
</cp:coreProperties>
</file>