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Русское развитие осуществлялось при помощи западного капитала и знаний. Через европейские пути сообщения проходило товаров на 2,5 млрд. рублей, через азиатские — в 10 раз меньше. Черное море и Балтика были главными путями для России во всех смыслах. А в экономике страны развитие происходило при активнейшем участии европейского и американского капитала. Нефтяная промышленность Кавказа контролировалась англичанами, добыча меди и платины на Урале и Кавказе осуществлялась британскими и американскими компаниями. Трамвайными депо в городах владели бельгийцы, 70 процентов электротехнической промышленности и банковское дело принадлежали немцам. С 1888 г. главным источником капитала для России становится Франция. Французские займы России и инвестиции в России достигли колоссальной суммы в 25 млрд. франков</w:t>
      </w:r>
      <w:hyperlink r:id="rId5" w:history="1">
        <w:r w:rsidRPr="00697158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{39}</w:t>
        </w:r>
      </w:hyperlink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После соглашений 1907 г. между Петербургом и Лондоном в Россию начинает активно проникать британский капитал — рост его в 1908 — 1914 гг. был очень впечатляющим. В результате иностранные банки и фирмы заняли в России исключительно важные позиции. Если в 1890 г. в России было лишь 16 компаний с капиталом, контролируемым иностранцами, то в 1891-1914 гг. иностранный капитал возобладал в 457 новых промышленных компаниях. Основанные на базе западного капитала компании были в среднем богаче и могущественнее собственно российских. В среднем на российскую компанию к 1914 г. при</w:t>
      </w:r>
      <w:bookmarkStart w:id="0" w:name="_GoBack"/>
      <w:bookmarkEnd w:id="0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ходилось 1, 2 млн., а на иностранную — 1,7 млн. рублей.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textAlignment w:val="top"/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lang w:eastAsia="ru-RU"/>
        </w:rPr>
        <w:t>Иностранные инвестиции в России в 1914 г </w:t>
      </w:r>
      <w:r w:rsidRPr="0069715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  <w:t>(тыс. золотых рублей)</w:t>
      </w:r>
    </w:p>
    <w:tbl>
      <w:tblPr>
        <w:tblW w:w="5000" w:type="pct"/>
        <w:tblBorders>
          <w:top w:val="single" w:sz="12" w:space="0" w:color="555555"/>
          <w:left w:val="single" w:sz="12" w:space="0" w:color="555555"/>
          <w:bottom w:val="single" w:sz="12" w:space="0" w:color="555555"/>
          <w:right w:val="single" w:sz="12" w:space="0" w:color="555555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2030"/>
        <w:gridCol w:w="4255"/>
      </w:tblGrid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Страны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 общего числа, (%)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731 747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507 480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441 593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Бельгия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321 602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117 750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Голландия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36457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Швейцария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33 479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Швеция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23 772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14 727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Австро-Венгрия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7 550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2 506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Норвегия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2 300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697158" w:rsidRPr="00697158" w:rsidTr="00697158">
        <w:tc>
          <w:tcPr>
            <w:tcW w:w="16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</w:t>
            </w:r>
          </w:p>
        </w:tc>
        <w:tc>
          <w:tcPr>
            <w:tcW w:w="108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2 240 955</w:t>
            </w:r>
          </w:p>
        </w:tc>
        <w:tc>
          <w:tcPr>
            <w:tcW w:w="22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Экономические отношения России с Францией и с германскими партнерами вплоть до середины XIX в. шли в ногу. В период между 1841 и 1850 гг. торговля с Францией (85 млн. франков) была вполне сопоставима с торговлей с Германией (73 млн. франков). Но последующая половина века изменила это соотношение. К началу нашего века германская торговля увеличилась в 11,5 раз, а французская — лишь в 3 раза. В 1901-1905 гг. импорт России из Германии составлял 35,8% ее общего импорта, а импорт из Франции лишь 4,3. Договор 1905 г. дал экономическому наступлению Германии новый импульс. В 1913 г. доля Германии в импорте России составила почти половину </w:t>
      </w: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его, а доля Франции — 4,6%. Общий объем торговли России с Германией накануне первой мировой войны составил 1095 млн. рублей, а с Францией — 157 млн.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Вторым по важности партнером России в торговле к 1914 г. стала Англия, но и в этом случае нужно отметить, что британская торговля по объему была в 4 раза меньше немецкой. Собственно говоря, Британия на протяжении более чем полувека, предшествовавшего войне, теряла свои позиции в России, предприняв усилия по изменению этой тенденции лишь после 1907 года. Нижеследующая таблица характеризует эту тенденцию.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textAlignment w:val="top"/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lang w:eastAsia="ru-RU"/>
        </w:rPr>
        <w:t>Экономические отношения России с двумя ведущими европейскими странами</w:t>
      </w:r>
    </w:p>
    <w:tbl>
      <w:tblPr>
        <w:tblW w:w="5000" w:type="pct"/>
        <w:tblBorders>
          <w:top w:val="single" w:sz="12" w:space="0" w:color="555555"/>
          <w:left w:val="single" w:sz="12" w:space="0" w:color="555555"/>
          <w:bottom w:val="single" w:sz="12" w:space="0" w:color="555555"/>
          <w:right w:val="single" w:sz="12" w:space="0" w:color="555555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2529"/>
        <w:gridCol w:w="2940"/>
      </w:tblGrid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28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before="150" w:after="15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 общем импорте России (%)</w:t>
            </w:r>
          </w:p>
        </w:tc>
      </w:tr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Англии</w:t>
            </w:r>
          </w:p>
        </w:tc>
        <w:tc>
          <w:tcPr>
            <w:tcW w:w="15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Германии</w:t>
            </w:r>
          </w:p>
        </w:tc>
      </w:tr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1846-1848</w:t>
            </w:r>
          </w:p>
        </w:tc>
        <w:tc>
          <w:tcPr>
            <w:tcW w:w="13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5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</w:tr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1898-1902</w:t>
            </w:r>
          </w:p>
        </w:tc>
        <w:tc>
          <w:tcPr>
            <w:tcW w:w="13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5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1903-1907</w:t>
            </w:r>
          </w:p>
        </w:tc>
        <w:tc>
          <w:tcPr>
            <w:tcW w:w="13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5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1908-1912</w:t>
            </w:r>
          </w:p>
        </w:tc>
        <w:tc>
          <w:tcPr>
            <w:tcW w:w="13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янв. 1913 - июнь 1914</w:t>
            </w:r>
          </w:p>
        </w:tc>
        <w:tc>
          <w:tcPr>
            <w:tcW w:w="13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5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</w:tr>
      <w:tr w:rsidR="00697158" w:rsidRPr="00697158" w:rsidTr="00697158">
        <w:tc>
          <w:tcPr>
            <w:tcW w:w="20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 - июнь 1914</w:t>
            </w:r>
          </w:p>
        </w:tc>
        <w:tc>
          <w:tcPr>
            <w:tcW w:w="135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57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158" w:rsidRPr="00697158" w:rsidRDefault="00697158" w:rsidP="00697158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</w:tbl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Германия завладела половиной русской торговли. От нее зависела модернизация страны, от нее же исходила опасность превращения России в экономического сателлита. Германия приложила чрезвычайные усилия для занятия доминирующих позиций в России, действуя энергично и с примерной немецкой методичностью. В России жили примерно 170 тыс. германских подданных и 120 тыс. австро-венгров (что трудно сопоставить с 10 тыс. французов и 8 тыс. англичан). То был уникальный случай, когда огромная страна, обладавшая неисчерпаемыми ресурсами, зависела от </w:t>
      </w: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концентрированной мощи гораздо более развитого партнера. Как пишет американец Дж. 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Спарго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«хладнокровная, безжалостная манера, с которой Германия осаждала Россию со всех сторон, как в Азии, так и в Европе, систематические усилия по ослаблению своей жертвы, его экономическая эксплуатация вызывает в памяти удушение Лаокоона и его сыновей. Троянские жертвы были не более обречены в объятиях монстра, чем Россия в </w:t>
      </w:r>
      <w:r w:rsidRPr="006971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[27]</w:t>
      </w: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руках Германии».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Германское экономическое проникновение, по мнению английского историка Б. 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Пеэрса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«было чем-то вроде триумфального шествия по России, и у русских появилось нечто вроде привычки позволять немцам делать в России все, что они считали необходимым для себя. Теперь Германия стояла огромной враждебной силой между Россией и европейской цивилизацией».</w:t>
      </w:r>
    </w:p>
    <w:p w:rsidR="00697158" w:rsidRPr="00697158" w:rsidRDefault="00697158" w:rsidP="00697158">
      <w:pPr>
        <w:shd w:val="clear" w:color="auto" w:fill="FBFBFB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mallCaps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b/>
          <w:bCs/>
          <w:smallCaps/>
          <w:color w:val="444444"/>
          <w:sz w:val="28"/>
          <w:szCs w:val="28"/>
          <w:lang w:eastAsia="ru-RU"/>
        </w:rPr>
        <w:t>Производное зависимости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Россия начинала создавать свой центр экономического влияния. Он был слабым по сравнению с 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центральноевропейским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западноевропейским или американским, но он уже помогал России создавать прочную зону влияния там, где конкуренция с Западом отсутствовала — в Северном Китае, Афганистане, Северном Иране, Корее. Такие образования, как Русско-Китайский банк, служили твердой основой русского влияния.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Нужны были годы труда, обучения, восприятия опыта, рационального использования природных ресурсов, чтобы поставить Россию в первый ряд гигантов мира. В начале века, накануне крестного пути России, Витте доказывал царю Николаю:</w:t>
      </w:r>
    </w:p>
    <w:p w:rsidR="00697158" w:rsidRPr="00697158" w:rsidRDefault="00697158" w:rsidP="00697158">
      <w:pPr>
        <w:shd w:val="clear" w:color="auto" w:fill="FBFBF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настоящее время политическая мощь Великих Держав, призванных выполнить исторические задачи, создается не только духовною силой их народов, но их экономической организацией... Россия, возможно, более других стран нуждается в надлежащем экономическом основании ее национального политического и культурного здания... Наше недостаточное экономическое развитие может вести к политической и культурной отсталости».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После учреждения Думы в 1905 г. прозападный правящий слой и народные массы сделали несколько шагов навстречу друг другу. Единая политическая система, хотя бы в некоторой степени, сближала. Начал сказываться фактор большей мобильности населения. В ходе войны с Японией произошел приток в армию офицеров-разночинцев. Параллельно (и частично на смену) западному слою русского общества, реализовавшему себя в государственном строительстве, военной славе, мирового класса науке и гениальной литературе, начали подниматься глубинные слои другого, «второго» народа, сформировавшегося в автохтонной «окраинной» культуре, и впервые взошедшие на пьедестал истории. Вопрос оказался поставленным жестко: сумеет или нет образоваться связка «двух народов» до критического испытания российского корабля на государственную зрелость, на цивилизационную прочность?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России был не просто мощный сосед, мировой лидер, меняющий глобальное соотношение сил. Германия, загнавшая в свою тень Францию и доминировавшая в торговле с Россией, по доле в мировом промышленном производстве (14,8%) к началу мирового конфликта обошла Англию. В 1914 г. Германия производила 17,6 млн. т. стали — больше, чем Россия, Британия и Франция, вместе взятые. Германский «Сименс» доминировал в европейской электротехнической промышленности, «Байер» и «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Хехст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производили 90 процентов </w:t>
      </w:r>
      <w:r w:rsidRPr="006971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[28]</w:t>
      </w: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мировых красителей. Угля Германия добывала в 1914 г. 277 млн. т., тогда как Россия — 36 млн., а Франция — 40 млн. т. Германия стала посягать на континентальное преобладание не только в экономическом, но и в военном и политическом отношении. Военный бюджет Германии достиг в 1914 г. 442 млн. долл. против 324 млн. у России и 197 млн. у Франции.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Система Меттерниха еще поддерживалась мудрым Бисмарком, но показалась устаревшей канцлерам 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Бюлову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Бетман-Гольвегу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Именно нарушение равновесия погубило систему. Возвышение Германии заставило остальных объединиться ради самозащиты, привело к союзу против нее Франции, России и Британии. Для России это был непростой выбор. Еще в </w:t>
      </w: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годы войны с Турцией (1878) военный министр 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Милютин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указывал: условия русской индустрии, финансов и культуры таковы, что России опасно противостоять первоклассной европейской державе.</w:t>
      </w:r>
    </w:p>
    <w:p w:rsidR="00697158" w:rsidRPr="00697158" w:rsidRDefault="00697158" w:rsidP="00697158">
      <w:pPr>
        <w:shd w:val="clear" w:color="auto" w:fill="FBFBF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«Чего же можно ожидать в будущем, если Россия будет вовлечена в большую европейскую войну и не будет вполне подготовлена к тому, чтобы твердо стать уже не против одних турок, а против миллионных армий, отлично устроенных и снабженных всеми усовершенствованиями современной техники?» 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Сверхзависимость от Германии порождала смятение и недовольство тех национальных элементов в России, которые (по разным причинам) желали диверсифицировать связи с Европой, осуществить независимый курс, выйти на уровень экономической независимости. Русские видели перед собой две главные цели: первая (и основная) — оторваться от германской пуповины, стать самостоятельным индустриальным центром; вторая — избежать преобладания в Европе германского «второго рейха». Сказывались и ущемленная национальная гордость, и озлобление теснимых немецкими производителями конкурентов на внутреннем российском рынке. В окружающем Германию мире ослабить монополию Германии хотели две стороны — русская, стремящаяся к подлинной экономической самостоятельности своей страны, и западноевропейская — правящие круги Франции и Британии боялись германского доминирования в европейской зоне, которое послужит основанием для германской гегемонии в мире.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Враждебность к германскому экономическому могуществу была в России ощутимой на обоих флангах политического спектра. Справа ее разделяли партии крупного русского капитала; слева — народники и их политические наследники социалисты-революционеры. Представители русского национального капитала цитировали слова министра торговли Тимирязева:</w:t>
      </w:r>
    </w:p>
    <w:p w:rsidR="00697158" w:rsidRPr="00697158" w:rsidRDefault="00697158" w:rsidP="00697158">
      <w:pPr>
        <w:shd w:val="clear" w:color="auto" w:fill="FBFBF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не можем позволить, чтобы русская промышленность была полностью сокрушена германской индустрией»</w:t>
      </w:r>
      <w:hyperlink r:id="rId6" w:history="1">
        <w:r w:rsidRPr="00697158">
          <w:rPr>
            <w:rFonts w:ascii="Times New Roman" w:eastAsia="Times New Roman" w:hAnsi="Times New Roman" w:cs="Times New Roman"/>
            <w:color w:val="990000"/>
            <w:sz w:val="28"/>
            <w:szCs w:val="28"/>
            <w:lang w:eastAsia="ru-RU"/>
          </w:rPr>
          <w:t>{43}</w:t>
        </w:r>
      </w:hyperlink>
      <w:r w:rsidRPr="006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Русские капиталисты указывали на отступающих перед натиском германских компаний российских производителей. По меньшей мере три политические партии буржуазии: кадеты, октябристы и умеренные правые — призвали в 1914 г. к денонсации «невозможного, несправедливого, оскорбительного и наносящего материальный ущерб» торгового соглашения, навязанного Германией России в период ее военного кризиса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Аналитики социально-революционных кругов (скажем, эсер </w:t>
      </w:r>
      <w:proofErr w:type="spellStart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Огановский</w:t>
      </w:r>
      <w:proofErr w:type="spellEnd"/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утверждали, что Россия принимает черты германской колонии, русское население превращается в объект эксплуатации со стороны германского монополистического капитала. Социал-демократы видели в Германии молодого и агрессивного хищника, стремящегося к мировому переделу.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результате в России набрало популярность движение за освобождение страны от германского экономического засилья. Союз южных российских экспортеров принял в марте 1914 г. в Киеве следующую резолюцию:</w:t>
      </w:r>
    </w:p>
    <w:p w:rsidR="00697158" w:rsidRPr="00697158" w:rsidRDefault="00697158" w:rsidP="00697158">
      <w:pPr>
        <w:shd w:val="clear" w:color="auto" w:fill="FBFBF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 должна освободить себя от экономической зависимости от Германии, которая унижает ее как великую державу. С этой целью нужно предпринять немедленные шаги для расширения нашей торговли с другими государствами, особенно с Британией, Бельгией и Голландией, которые не имеют заградительных тарифов на сельскохозяйственные продукты. Когда будет заключено новое соглашение с Германией, оно должно предусматривать такое положение, когда русские рабочие, отправляющиеся в Германию, будут заключать письменные контракты, которые обеспечат сезонным русским блага, предусматриваемые германским законодательством. Следует учитывать также возможности использования в самой России сотен тысяч русских сезонных рабочих, ежегодно отправляющихся в Германию. Желательно введение тарифа для компенсации открытых и скрытых привилегий германским промышленным трестам»</w:t>
      </w:r>
      <w:hyperlink r:id="rId7" w:history="1"/>
      <w:r w:rsidRPr="006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158" w:rsidRPr="00697158" w:rsidRDefault="00697158" w:rsidP="00697158">
      <w:pPr>
        <w:shd w:val="clear" w:color="auto" w:fill="FBFBFB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Русское министерство транспорта наметило переход от традиционных германских партнеров к их французским и английским конкурентам. В апреле </w:t>
      </w:r>
      <w:r w:rsidRPr="006971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1914 г. русское военно-морское министерство издало циркуляр об ограничении контактов с германскими фирмами; военное министерство последовало тем же путем. В том же духе министр финансов России Барк предостерег:</w:t>
      </w:r>
    </w:p>
    <w:p w:rsidR="00697158" w:rsidRPr="00697158" w:rsidRDefault="00697158" w:rsidP="00697158">
      <w:pPr>
        <w:shd w:val="clear" w:color="auto" w:fill="FBFBFB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«Именно за счет своей торговли с Россией Германия смогла создать свои пушки, построить свои цеппелины и дредноуты! Наши рынки должны быть для Германии закрыты. Наши друзья французы заменят немцев на русском рынке».</w:t>
      </w:r>
    </w:p>
    <w:p w:rsidR="00697158" w:rsidRPr="00697158" w:rsidRDefault="00697158" w:rsidP="00697158">
      <w:pPr>
        <w:shd w:val="clear" w:color="auto" w:fill="FBFBFB"/>
        <w:spacing w:after="0" w:line="276" w:lineRule="atLeast"/>
        <w:jc w:val="center"/>
        <w:outlineLvl w:val="4"/>
        <w:rPr>
          <w:rFonts w:ascii="Cambria" w:eastAsia="Times New Roman" w:hAnsi="Cambria" w:cs="Times New Roman"/>
          <w:b/>
          <w:bCs/>
          <w:smallCaps/>
          <w:color w:val="444444"/>
          <w:sz w:val="24"/>
          <w:szCs w:val="24"/>
          <w:lang w:eastAsia="ru-RU"/>
        </w:rPr>
      </w:pPr>
    </w:p>
    <w:p w:rsidR="00DF46C1" w:rsidRDefault="00DF46C1"/>
    <w:sectPr w:rsidR="00DF46C1" w:rsidSect="00697158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58"/>
    <w:rsid w:val="0005361B"/>
    <w:rsid w:val="00070F6E"/>
    <w:rsid w:val="000C3B95"/>
    <w:rsid w:val="000C6998"/>
    <w:rsid w:val="003259A4"/>
    <w:rsid w:val="003B3B9C"/>
    <w:rsid w:val="00496BF7"/>
    <w:rsid w:val="004A61B1"/>
    <w:rsid w:val="004B6048"/>
    <w:rsid w:val="004F7E5C"/>
    <w:rsid w:val="005F759B"/>
    <w:rsid w:val="006104B5"/>
    <w:rsid w:val="006355D2"/>
    <w:rsid w:val="00697158"/>
    <w:rsid w:val="00734FDD"/>
    <w:rsid w:val="00753AE7"/>
    <w:rsid w:val="007C36CA"/>
    <w:rsid w:val="00815A31"/>
    <w:rsid w:val="008D5934"/>
    <w:rsid w:val="00993151"/>
    <w:rsid w:val="009A31BB"/>
    <w:rsid w:val="00A742DC"/>
    <w:rsid w:val="00AB330A"/>
    <w:rsid w:val="00AC3360"/>
    <w:rsid w:val="00AC3F9F"/>
    <w:rsid w:val="00AE671F"/>
    <w:rsid w:val="00AF75C5"/>
    <w:rsid w:val="00B42CFF"/>
    <w:rsid w:val="00B452AF"/>
    <w:rsid w:val="00BB293E"/>
    <w:rsid w:val="00BC5DF1"/>
    <w:rsid w:val="00BE6592"/>
    <w:rsid w:val="00DC700D"/>
    <w:rsid w:val="00DF46C1"/>
    <w:rsid w:val="00ED0E28"/>
    <w:rsid w:val="00EE6F61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18D0"/>
  <w15:chartTrackingRefBased/>
  <w15:docId w15:val="{E3DE0EAC-43CF-46DE-A3D1-4D97062A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97158"/>
  </w:style>
  <w:style w:type="character" w:customStyle="1" w:styleId="apple-converted-space">
    <w:name w:val="apple-converted-space"/>
    <w:basedOn w:val="a0"/>
    <w:rsid w:val="00697158"/>
  </w:style>
  <w:style w:type="character" w:customStyle="1" w:styleId="p">
    <w:name w:val="p"/>
    <w:basedOn w:val="a0"/>
    <w:rsid w:val="0069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038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45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648">
          <w:blockQuote w:val="1"/>
          <w:marLeft w:val="1900"/>
          <w:marRight w:val="190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3">
          <w:blockQuote w:val="1"/>
          <w:marLeft w:val="1900"/>
          <w:marRight w:val="190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029">
          <w:blockQuote w:val="1"/>
          <w:marLeft w:val="1900"/>
          <w:marRight w:val="190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220">
          <w:blockQuote w:val="1"/>
          <w:marLeft w:val="1900"/>
          <w:marRight w:val="190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744">
          <w:blockQuote w:val="1"/>
          <w:marLeft w:val="1900"/>
          <w:marRight w:val="190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itera.lib.ru/h/utkin2/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litera.lib.ru/h/utkin2/01.html" TargetMode="External"/><Relationship Id="rId5" Type="http://schemas.openxmlformats.org/officeDocument/2006/relationships/hyperlink" Target="http://militera.lib.ru/h/utkin2/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A9CE-E3BA-4A0C-85AE-1D989254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Фридрих Гогенштауфен</dc:creator>
  <cp:keywords/>
  <dc:description/>
  <cp:lastModifiedBy>Фридрих Гогенштауфен</cp:lastModifiedBy>
  <cp:revision>1</cp:revision>
  <dcterms:created xsi:type="dcterms:W3CDTF">2017-01-08T00:43:00Z</dcterms:created>
  <dcterms:modified xsi:type="dcterms:W3CDTF">2017-01-08T00:45:00Z</dcterms:modified>
</cp:coreProperties>
</file>