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В XIX в. самые фантастические представления России о Западе (и наоборот) исчезли, но на психологическом уровне переход «от странного к знакомому» так никогда и не был завершен.</w:t>
      </w:r>
    </w:p>
    <w:p w:rsidR="00524C04" w:rsidRPr="00524C04" w:rsidRDefault="00524C04" w:rsidP="00524C04">
      <w:pPr>
        <w:shd w:val="clear" w:color="auto" w:fill="FBFBFB"/>
        <w:spacing w:line="360" w:lineRule="auto"/>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«Европейцы смотрели на эту огромную, таинственную страну с глубоким подозрением, — пишет американский историк Брюс Линкольн. — Сами русские относились к своей стране с мистическим чувством. Они поклонялись Богу — «русскому Богу», как они говорили — в своей особой православной религии. Эта страна имела тысячелетнюю историю и в ней была трехсотлетняя династия. Для ее народа, как писал один полный энтузиазма публицист (Погодин. — </w:t>
      </w:r>
      <w:r w:rsidRPr="00524C04">
        <w:rPr>
          <w:rFonts w:ascii="Times New Roman" w:eastAsia="Times New Roman" w:hAnsi="Times New Roman" w:cs="Times New Roman"/>
          <w:i/>
          <w:iCs/>
          <w:sz w:val="28"/>
          <w:szCs w:val="28"/>
          <w:lang w:eastAsia="ru-RU"/>
        </w:rPr>
        <w:t xml:space="preserve">А. </w:t>
      </w:r>
      <w:proofErr w:type="gramStart"/>
      <w:r w:rsidRPr="00524C04">
        <w:rPr>
          <w:rFonts w:ascii="Times New Roman" w:eastAsia="Times New Roman" w:hAnsi="Times New Roman" w:cs="Times New Roman"/>
          <w:i/>
          <w:iCs/>
          <w:sz w:val="28"/>
          <w:szCs w:val="28"/>
          <w:lang w:eastAsia="ru-RU"/>
        </w:rPr>
        <w:t>У</w:t>
      </w:r>
      <w:r w:rsidRPr="00524C04">
        <w:rPr>
          <w:rFonts w:ascii="Times New Roman" w:eastAsia="Times New Roman" w:hAnsi="Times New Roman" w:cs="Times New Roman"/>
          <w:sz w:val="28"/>
          <w:szCs w:val="28"/>
          <w:lang w:eastAsia="ru-RU"/>
        </w:rPr>
        <w:t> )</w:t>
      </w:r>
      <w:proofErr w:type="gramEnd"/>
      <w:r w:rsidRPr="00524C04">
        <w:rPr>
          <w:rFonts w:ascii="Times New Roman" w:eastAsia="Times New Roman" w:hAnsi="Times New Roman" w:cs="Times New Roman"/>
          <w:sz w:val="28"/>
          <w:szCs w:val="28"/>
          <w:lang w:eastAsia="ru-RU"/>
        </w:rPr>
        <w:t>., Россия была «отдельным миром, самодостаточным, независимым и абсолютным».</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На огромную страну (шестая земной суши) приходилась четверть мировых лесов и все виды имеющихся в недрах Земли минералов, 150 тысяч рек. Страна экспортировала более 100 тыс. тонн зерна (1913 г.) — 226 кг на каждого жителя Европы. Средства от сельскохозяйственного экспорта шли на индустриализацию страны. (Российский сахар в Англии стоил дешевле, чем в России. Зерна периодически голодающая Россия продавала больше, чем, скажем, Канада). Граф Витте ввел такую тарифную систему, которая начиная с 1890-х гг. прикрывала национальную промышленность. В результате текстильная промышленность росла так быстро, что российский экспорт в</w:t>
      </w:r>
      <w:r>
        <w:rPr>
          <w:rFonts w:ascii="Times New Roman" w:eastAsia="Times New Roman" w:hAnsi="Times New Roman" w:cs="Times New Roman"/>
          <w:sz w:val="28"/>
          <w:szCs w:val="28"/>
          <w:lang w:eastAsia="ru-RU"/>
        </w:rPr>
        <w:t xml:space="preserve"> </w:t>
      </w:r>
      <w:r w:rsidRPr="00524C04">
        <w:rPr>
          <w:rFonts w:ascii="Times New Roman" w:eastAsia="Times New Roman" w:hAnsi="Times New Roman" w:cs="Times New Roman"/>
          <w:sz w:val="28"/>
          <w:szCs w:val="28"/>
          <w:lang w:eastAsia="ru-RU"/>
        </w:rPr>
        <w:t>Персию и Китай к 1913 г. превосходил британский. Но Россия была преимущественно крестьянской страной. Городское население составляло 9,6% от общего населения в 1867 году, 11,</w:t>
      </w:r>
      <w:r>
        <w:rPr>
          <w:rFonts w:ascii="Times New Roman" w:eastAsia="Times New Roman" w:hAnsi="Times New Roman" w:cs="Times New Roman"/>
          <w:sz w:val="28"/>
          <w:szCs w:val="28"/>
          <w:lang w:eastAsia="ru-RU"/>
        </w:rPr>
        <w:t>7% в 1897 году, 13,3% в 1914 г.</w:t>
      </w:r>
      <w:r w:rsidRPr="00524C04">
        <w:rPr>
          <w:rFonts w:ascii="Times New Roman" w:eastAsia="Times New Roman" w:hAnsi="Times New Roman" w:cs="Times New Roman"/>
          <w:sz w:val="28"/>
          <w:szCs w:val="28"/>
          <w:lang w:eastAsia="ru-RU"/>
        </w:rPr>
        <w:t xml:space="preserve"> Для сравнения напомним, что во Франции городское население составляло 40%, в Германии — 54%, в Британии</w:t>
      </w:r>
      <w:bookmarkStart w:id="0" w:name="_GoBack"/>
      <w:bookmarkEnd w:id="0"/>
      <w:r w:rsidRPr="00524C04">
        <w:rPr>
          <w:rFonts w:ascii="Times New Roman" w:eastAsia="Times New Roman" w:hAnsi="Times New Roman" w:cs="Times New Roman"/>
          <w:sz w:val="28"/>
          <w:szCs w:val="28"/>
          <w:lang w:eastAsia="ru-RU"/>
        </w:rPr>
        <w:t> — 80% от общего населения.</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Как результат значительного демографического роста население России к 1914 году составило 160 млн. человек — столько же, сколько в Германии, Англии и Франции вместе взятых. В России были два города с более чем миллионным населением — Санкт-Петербург и Москва. Выросли новые </w:t>
      </w:r>
      <w:r w:rsidRPr="00524C04">
        <w:rPr>
          <w:rFonts w:ascii="Times New Roman" w:eastAsia="Times New Roman" w:hAnsi="Times New Roman" w:cs="Times New Roman"/>
          <w:sz w:val="28"/>
          <w:szCs w:val="28"/>
          <w:lang w:eastAsia="ru-RU"/>
        </w:rPr>
        <w:lastRenderedPageBreak/>
        <w:t xml:space="preserve">индустриальные города — </w:t>
      </w:r>
      <w:proofErr w:type="spellStart"/>
      <w:r w:rsidRPr="00524C04">
        <w:rPr>
          <w:rFonts w:ascii="Times New Roman" w:eastAsia="Times New Roman" w:hAnsi="Times New Roman" w:cs="Times New Roman"/>
          <w:sz w:val="28"/>
          <w:szCs w:val="28"/>
          <w:lang w:eastAsia="ru-RU"/>
        </w:rPr>
        <w:t>Екатеринослав</w:t>
      </w:r>
      <w:proofErr w:type="spellEnd"/>
      <w:r w:rsidRPr="00524C04">
        <w:rPr>
          <w:rFonts w:ascii="Times New Roman" w:eastAsia="Times New Roman" w:hAnsi="Times New Roman" w:cs="Times New Roman"/>
          <w:sz w:val="28"/>
          <w:szCs w:val="28"/>
          <w:lang w:eastAsia="ru-RU"/>
        </w:rPr>
        <w:t>, Иваново, Царицын, Баку. Повсюду в Европе высоко оценивали потенциал России:</w:t>
      </w:r>
    </w:p>
    <w:p w:rsidR="00524C04" w:rsidRPr="00524C04" w:rsidRDefault="00524C04" w:rsidP="00524C04">
      <w:pPr>
        <w:shd w:val="clear" w:color="auto" w:fill="FBFBFB"/>
        <w:spacing w:line="360" w:lineRule="auto"/>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«Ее известные природные ресурсы невозможно измерить. Они по совокупному объему и по разнообразию больше, чем разведанные природные ресурсы любой другой нации. Это огромный резервуар, ожидающий труда и предприимчивости».</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Между 1860 и 1913 гг. промышленное производство росло на 5% в год (особенно впечатляющими были 90-е гг. — 8% роста). К началу Первой мировой войны ее текстильная промышленность была одной из лидирующих в Европе. Внешняя торговля России, основанная на введенном в 1897 г. золотом стандарте, между 1890 и 1914 годами утроилась и к началу войны 1914 г. достигла 3 млрд. рублей. Ее валовой национальный продукт в 1913 г. был на 219 % выше уровня 1900 г.</w:t>
      </w:r>
      <w:hyperlink r:id="rId4" w:history="1">
        <w:r w:rsidRPr="00524C04">
          <w:rPr>
            <w:rFonts w:ascii="Times New Roman" w:eastAsia="Times New Roman" w:hAnsi="Times New Roman" w:cs="Times New Roman"/>
            <w:sz w:val="28"/>
            <w:szCs w:val="28"/>
            <w:lang w:eastAsia="ru-RU"/>
          </w:rPr>
          <w:t>{16}</w:t>
        </w:r>
      </w:hyperlink>
      <w:r w:rsidRPr="00524C04">
        <w:rPr>
          <w:rFonts w:ascii="Times New Roman" w:eastAsia="Times New Roman" w:hAnsi="Times New Roman" w:cs="Times New Roman"/>
          <w:sz w:val="28"/>
          <w:szCs w:val="28"/>
          <w:lang w:eastAsia="ru-RU"/>
        </w:rPr>
        <w:t xml:space="preserve">. По основным показателям Россия довольно быстро сближалась с Западной Европой. Французский министр иностранных дел Г. </w:t>
      </w:r>
      <w:proofErr w:type="spellStart"/>
      <w:r w:rsidRPr="00524C04">
        <w:rPr>
          <w:rFonts w:ascii="Times New Roman" w:eastAsia="Times New Roman" w:hAnsi="Times New Roman" w:cs="Times New Roman"/>
          <w:sz w:val="28"/>
          <w:szCs w:val="28"/>
          <w:lang w:eastAsia="ru-RU"/>
        </w:rPr>
        <w:t>Аното</w:t>
      </w:r>
      <w:proofErr w:type="spellEnd"/>
      <w:r w:rsidRPr="00524C04">
        <w:rPr>
          <w:rFonts w:ascii="Times New Roman" w:eastAsia="Times New Roman" w:hAnsi="Times New Roman" w:cs="Times New Roman"/>
          <w:sz w:val="28"/>
          <w:szCs w:val="28"/>
          <w:lang w:eastAsia="ru-RU"/>
        </w:rPr>
        <w:t xml:space="preserve"> писал, что Россия 1914 года «является крупным производителем. В дополнение к ее сельскохозяйственному производству у нее есть текстильные и сахарные фабрики. Она обладает огромной сетью железных дорог и теперь она думает о расширении экспорта... Россия становится богаче день ото дня и все меньше зависит от соседей».</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Американский историк писал:</w:t>
      </w:r>
    </w:p>
    <w:p w:rsidR="00524C04" w:rsidRPr="00524C04" w:rsidRDefault="00524C04" w:rsidP="00524C04">
      <w:pPr>
        <w:shd w:val="clear" w:color="auto" w:fill="FBFBFB"/>
        <w:spacing w:line="360" w:lineRule="auto"/>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«Годы правления Николая II были характерны быстрым промышленным ростом; происходила стремительная трансформация крестьянства в мелких хозяев, быстро распространялось образование, наблюдались новые, многообразные и оригинальные культурные процессы, осуществлялось приобщение целого поколения к политическому опыту посредством земств, муниципалитетов, думы и судов; и происходило грандиозное освоение Сибири»</w:t>
      </w:r>
      <w:hyperlink r:id="rId5" w:history="1"/>
      <w:r w:rsidRPr="00524C04">
        <w:rPr>
          <w:rFonts w:ascii="Times New Roman" w:eastAsia="Times New Roman" w:hAnsi="Times New Roman" w:cs="Times New Roman"/>
          <w:sz w:val="28"/>
          <w:szCs w:val="28"/>
          <w:lang w:eastAsia="ru-RU"/>
        </w:rPr>
        <w:t>.</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Россия стала четвертой индустриальной державой мира, шестой торговой нацией. И все же не следует предаваться преувеличениям в отношении </w:t>
      </w:r>
      <w:r w:rsidRPr="00524C04">
        <w:rPr>
          <w:rFonts w:ascii="Times New Roman" w:eastAsia="Times New Roman" w:hAnsi="Times New Roman" w:cs="Times New Roman"/>
          <w:sz w:val="28"/>
          <w:szCs w:val="28"/>
          <w:lang w:eastAsia="ru-RU"/>
        </w:rPr>
        <w:lastRenderedPageBreak/>
        <w:t xml:space="preserve">индустриального развития России. Ко времени революции 1917 г. общий капитал промышленных и торговых компаний (за исключением банков и железных дорог) составлял примерно 2 млрд. долл., что составляло одну девятую капитала, инвестированного в США только в железные дороги. Капитал лишь одной американской «Юнайтед </w:t>
      </w:r>
      <w:proofErr w:type="spellStart"/>
      <w:r w:rsidRPr="00524C04">
        <w:rPr>
          <w:rFonts w:ascii="Times New Roman" w:eastAsia="Times New Roman" w:hAnsi="Times New Roman" w:cs="Times New Roman"/>
          <w:sz w:val="28"/>
          <w:szCs w:val="28"/>
          <w:lang w:eastAsia="ru-RU"/>
        </w:rPr>
        <w:t>Стил</w:t>
      </w:r>
      <w:proofErr w:type="spellEnd"/>
      <w:r w:rsidRPr="00524C04">
        <w:rPr>
          <w:rFonts w:ascii="Times New Roman" w:eastAsia="Times New Roman" w:hAnsi="Times New Roman" w:cs="Times New Roman"/>
          <w:sz w:val="28"/>
          <w:szCs w:val="28"/>
          <w:lang w:eastAsia="ru-RU"/>
        </w:rPr>
        <w:t xml:space="preserve"> </w:t>
      </w:r>
      <w:proofErr w:type="spellStart"/>
      <w:r w:rsidRPr="00524C04">
        <w:rPr>
          <w:rFonts w:ascii="Times New Roman" w:eastAsia="Times New Roman" w:hAnsi="Times New Roman" w:cs="Times New Roman"/>
          <w:sz w:val="28"/>
          <w:szCs w:val="28"/>
          <w:lang w:eastAsia="ru-RU"/>
        </w:rPr>
        <w:t>корпорейшн</w:t>
      </w:r>
      <w:proofErr w:type="spellEnd"/>
      <w:r w:rsidRPr="00524C04">
        <w:rPr>
          <w:rFonts w:ascii="Times New Roman" w:eastAsia="Times New Roman" w:hAnsi="Times New Roman" w:cs="Times New Roman"/>
          <w:sz w:val="28"/>
          <w:szCs w:val="28"/>
          <w:lang w:eastAsia="ru-RU"/>
        </w:rPr>
        <w:t xml:space="preserve">» равнялся совокупному капиталу всех индустриальных и торговых компаний России (совокупный капитал компаний Англии, страны с населением в три раза </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 меньше России, составлял 12 млрд. долл.). В России накануне революции было </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 2 тыс. акционерных компаний, в то время как в Англии — 56 тысяч. [19]</w:t>
      </w:r>
    </w:p>
    <w:p w:rsid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 К 1914 г. пропускная способность российских дорог едва превосходила систему дорог Канады, население которой было всего 8 млн. человек. Урожайность зерна была в 3 раза ниже английской или германской, урожайность картофеля — ниже в 2 раза. Правительство выделило в 1913 г. 970 млн. рублей военному ведомству и только 154 млн. на здравоохранение и образование. При этом в России не было таких органов самоуправления, которые компенсировали бы недостаток центральных инвестиций. Страна была малообразованной, уровень грамотности в России составлял 30 процентов — как в Англии середины XVIII в. Из тысячи призывников в России значительно более половины были неграмотными (в Италии — 330 человек, в Австро-Венгрии 220, во Франции — 68, в Германии — 1). Значительным было и отставание по валовому национальному доходу, не говоря уже о доходе на душу населения (о чем свидетельствует нижеприводимая таблица).</w:t>
      </w:r>
    </w:p>
    <w:p w:rsid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p>
    <w:tbl>
      <w:tblPr>
        <w:tblpPr w:leftFromText="180" w:rightFromText="180" w:vertAnchor="text" w:horzAnchor="margin" w:tblpX="-434" w:tblpY="905"/>
        <w:tblW w:w="9773" w:type="dxa"/>
        <w:tblBorders>
          <w:top w:val="single" w:sz="12" w:space="0" w:color="555555"/>
          <w:left w:val="single" w:sz="12" w:space="0" w:color="555555"/>
          <w:bottom w:val="single" w:sz="12" w:space="0" w:color="555555"/>
          <w:right w:val="single" w:sz="12" w:space="0" w:color="555555"/>
        </w:tblBorders>
        <w:shd w:val="clear" w:color="auto" w:fill="F9F9F9"/>
        <w:tblCellMar>
          <w:top w:w="15" w:type="dxa"/>
          <w:left w:w="15" w:type="dxa"/>
          <w:bottom w:w="15" w:type="dxa"/>
          <w:right w:w="15" w:type="dxa"/>
        </w:tblCellMar>
        <w:tblLook w:val="04A0" w:firstRow="1" w:lastRow="0" w:firstColumn="1" w:lastColumn="0" w:noHBand="0" w:noVBand="1"/>
      </w:tblPr>
      <w:tblGrid>
        <w:gridCol w:w="2358"/>
        <w:gridCol w:w="3162"/>
        <w:gridCol w:w="2024"/>
        <w:gridCol w:w="2229"/>
      </w:tblGrid>
      <w:tr w:rsidR="00524C04" w:rsidRPr="00524C04" w:rsidTr="00524C04">
        <w:trPr>
          <w:trHeight w:val="990"/>
        </w:trPr>
        <w:tc>
          <w:tcPr>
            <w:tcW w:w="2358" w:type="dxa"/>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524C04" w:rsidRPr="00524C04" w:rsidRDefault="00524C04" w:rsidP="00524C04">
            <w:pPr>
              <w:spacing w:before="150" w:after="150" w:line="360" w:lineRule="auto"/>
              <w:rPr>
                <w:rFonts w:ascii="Times New Roman" w:eastAsia="Times New Roman" w:hAnsi="Times New Roman" w:cs="Times New Roman"/>
                <w:b/>
                <w:bCs/>
                <w:sz w:val="20"/>
                <w:szCs w:val="28"/>
                <w:lang w:eastAsia="ru-RU"/>
              </w:rPr>
            </w:pP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Национальный доход, млрд. долл. США</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Население, млн. человек</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Доход на душу в долл. США</w:t>
            </w:r>
          </w:p>
        </w:tc>
      </w:tr>
      <w:tr w:rsidR="00524C04" w:rsidRPr="00524C04" w:rsidTr="00524C04">
        <w:trPr>
          <w:trHeight w:val="990"/>
        </w:trPr>
        <w:tc>
          <w:tcPr>
            <w:tcW w:w="2358"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ind w:left="708"/>
              <w:rPr>
                <w:rFonts w:ascii="Times New Roman" w:eastAsia="Times New Roman" w:hAnsi="Times New Roman" w:cs="Times New Roman"/>
                <w:b/>
                <w:bCs/>
                <w:sz w:val="20"/>
                <w:szCs w:val="28"/>
                <w:lang w:eastAsia="ru-RU"/>
              </w:rPr>
            </w:pPr>
            <w:r w:rsidRPr="00524C04">
              <w:rPr>
                <w:rFonts w:ascii="Times New Roman" w:eastAsia="Times New Roman" w:hAnsi="Times New Roman" w:cs="Times New Roman"/>
                <w:b/>
                <w:bCs/>
                <w:sz w:val="20"/>
                <w:szCs w:val="28"/>
                <w:lang w:eastAsia="ru-RU"/>
              </w:rPr>
              <w:t>США</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37</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98</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377</w:t>
            </w:r>
          </w:p>
        </w:tc>
      </w:tr>
      <w:tr w:rsidR="00524C04" w:rsidRPr="00524C04" w:rsidTr="00524C04">
        <w:trPr>
          <w:trHeight w:val="990"/>
        </w:trPr>
        <w:tc>
          <w:tcPr>
            <w:tcW w:w="2358"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ind w:left="708"/>
              <w:rPr>
                <w:rFonts w:ascii="Times New Roman" w:eastAsia="Times New Roman" w:hAnsi="Times New Roman" w:cs="Times New Roman"/>
                <w:b/>
                <w:bCs/>
                <w:sz w:val="20"/>
                <w:szCs w:val="28"/>
                <w:lang w:eastAsia="ru-RU"/>
              </w:rPr>
            </w:pPr>
            <w:r w:rsidRPr="00524C04">
              <w:rPr>
                <w:rFonts w:ascii="Times New Roman" w:eastAsia="Times New Roman" w:hAnsi="Times New Roman" w:cs="Times New Roman"/>
                <w:b/>
                <w:bCs/>
                <w:sz w:val="20"/>
                <w:szCs w:val="28"/>
                <w:lang w:eastAsia="ru-RU"/>
              </w:rPr>
              <w:t>Британия</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45</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244</w:t>
            </w:r>
          </w:p>
        </w:tc>
      </w:tr>
      <w:tr w:rsidR="00524C04" w:rsidRPr="00524C04" w:rsidTr="00524C04">
        <w:trPr>
          <w:trHeight w:val="990"/>
        </w:trPr>
        <w:tc>
          <w:tcPr>
            <w:tcW w:w="2358"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ind w:left="708"/>
              <w:rPr>
                <w:rFonts w:ascii="Times New Roman" w:eastAsia="Times New Roman" w:hAnsi="Times New Roman" w:cs="Times New Roman"/>
                <w:b/>
                <w:bCs/>
                <w:sz w:val="20"/>
                <w:szCs w:val="28"/>
                <w:lang w:eastAsia="ru-RU"/>
              </w:rPr>
            </w:pPr>
            <w:r w:rsidRPr="00524C04">
              <w:rPr>
                <w:rFonts w:ascii="Times New Roman" w:eastAsia="Times New Roman" w:hAnsi="Times New Roman" w:cs="Times New Roman"/>
                <w:b/>
                <w:bCs/>
                <w:sz w:val="20"/>
                <w:szCs w:val="28"/>
                <w:lang w:eastAsia="ru-RU"/>
              </w:rPr>
              <w:t>Германия</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12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65</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184</w:t>
            </w:r>
          </w:p>
        </w:tc>
      </w:tr>
      <w:tr w:rsidR="00524C04" w:rsidRPr="00524C04" w:rsidTr="00524C04">
        <w:trPr>
          <w:trHeight w:val="990"/>
        </w:trPr>
        <w:tc>
          <w:tcPr>
            <w:tcW w:w="2358"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ind w:left="708"/>
              <w:rPr>
                <w:rFonts w:ascii="Times New Roman" w:eastAsia="Times New Roman" w:hAnsi="Times New Roman" w:cs="Times New Roman"/>
                <w:b/>
                <w:bCs/>
                <w:sz w:val="20"/>
                <w:szCs w:val="28"/>
                <w:lang w:eastAsia="ru-RU"/>
              </w:rPr>
            </w:pPr>
            <w:r w:rsidRPr="00524C04">
              <w:rPr>
                <w:rFonts w:ascii="Times New Roman" w:eastAsia="Times New Roman" w:hAnsi="Times New Roman" w:cs="Times New Roman"/>
                <w:b/>
                <w:bCs/>
                <w:sz w:val="20"/>
                <w:szCs w:val="28"/>
                <w:lang w:eastAsia="ru-RU"/>
              </w:rPr>
              <w:t>Франция</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6</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39</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153</w:t>
            </w:r>
          </w:p>
        </w:tc>
      </w:tr>
      <w:tr w:rsidR="00524C04" w:rsidRPr="00524C04" w:rsidTr="00524C04">
        <w:trPr>
          <w:trHeight w:val="990"/>
        </w:trPr>
        <w:tc>
          <w:tcPr>
            <w:tcW w:w="2358"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ind w:left="708"/>
              <w:rPr>
                <w:rFonts w:ascii="Times New Roman" w:eastAsia="Times New Roman" w:hAnsi="Times New Roman" w:cs="Times New Roman"/>
                <w:b/>
                <w:bCs/>
                <w:sz w:val="20"/>
                <w:szCs w:val="28"/>
                <w:lang w:eastAsia="ru-RU"/>
              </w:rPr>
            </w:pPr>
            <w:r w:rsidRPr="00524C04">
              <w:rPr>
                <w:rFonts w:ascii="Times New Roman" w:eastAsia="Times New Roman" w:hAnsi="Times New Roman" w:cs="Times New Roman"/>
                <w:b/>
                <w:bCs/>
                <w:sz w:val="20"/>
                <w:szCs w:val="28"/>
                <w:lang w:eastAsia="ru-RU"/>
              </w:rPr>
              <w:t>Россия</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7</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171</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41</w:t>
            </w:r>
          </w:p>
        </w:tc>
      </w:tr>
      <w:tr w:rsidR="00524C04" w:rsidRPr="00524C04" w:rsidTr="00524C04">
        <w:trPr>
          <w:trHeight w:val="990"/>
        </w:trPr>
        <w:tc>
          <w:tcPr>
            <w:tcW w:w="2358"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ind w:left="708"/>
              <w:rPr>
                <w:rFonts w:ascii="Times New Roman" w:eastAsia="Times New Roman" w:hAnsi="Times New Roman" w:cs="Times New Roman"/>
                <w:b/>
                <w:bCs/>
                <w:sz w:val="20"/>
                <w:szCs w:val="28"/>
                <w:lang w:eastAsia="ru-RU"/>
              </w:rPr>
            </w:pPr>
            <w:r w:rsidRPr="00524C04">
              <w:rPr>
                <w:rFonts w:ascii="Times New Roman" w:eastAsia="Times New Roman" w:hAnsi="Times New Roman" w:cs="Times New Roman"/>
                <w:b/>
                <w:bCs/>
                <w:sz w:val="20"/>
                <w:szCs w:val="28"/>
                <w:lang w:eastAsia="ru-RU"/>
              </w:rPr>
              <w:t>Австро-Венгрия</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3</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52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524C04" w:rsidRPr="00524C04" w:rsidRDefault="00524C04" w:rsidP="00524C04">
            <w:pPr>
              <w:spacing w:before="150" w:after="150" w:line="360" w:lineRule="auto"/>
              <w:jc w:val="center"/>
              <w:rPr>
                <w:rFonts w:ascii="Times New Roman" w:eastAsia="Times New Roman" w:hAnsi="Times New Roman" w:cs="Times New Roman"/>
                <w:sz w:val="20"/>
                <w:szCs w:val="28"/>
                <w:lang w:eastAsia="ru-RU"/>
              </w:rPr>
            </w:pPr>
            <w:r w:rsidRPr="00524C04">
              <w:rPr>
                <w:rFonts w:ascii="Times New Roman" w:eastAsia="Times New Roman" w:hAnsi="Times New Roman" w:cs="Times New Roman"/>
                <w:sz w:val="20"/>
                <w:szCs w:val="28"/>
                <w:lang w:eastAsia="ru-RU"/>
              </w:rPr>
              <w:t>57</w:t>
            </w:r>
          </w:p>
        </w:tc>
      </w:tr>
    </w:tbl>
    <w:p w:rsidR="00524C04" w:rsidRPr="00524C04" w:rsidRDefault="00524C04" w:rsidP="00524C04">
      <w:pPr>
        <w:shd w:val="clear" w:color="auto" w:fill="FBFBFB"/>
        <w:spacing w:after="0" w:line="360" w:lineRule="auto"/>
        <w:ind w:firstLine="612"/>
        <w:textAlignment w:val="top"/>
        <w:rPr>
          <w:rFonts w:ascii="Times New Roman" w:eastAsia="Times New Roman" w:hAnsi="Times New Roman" w:cs="Times New Roman"/>
          <w:i/>
          <w:iCs/>
          <w:smallCaps/>
          <w:sz w:val="28"/>
          <w:szCs w:val="28"/>
          <w:lang w:eastAsia="ru-RU"/>
        </w:rPr>
      </w:pPr>
      <w:r w:rsidRPr="00524C04">
        <w:rPr>
          <w:rFonts w:ascii="Times New Roman" w:eastAsia="Times New Roman" w:hAnsi="Times New Roman" w:cs="Times New Roman"/>
          <w:b/>
          <w:bCs/>
          <w:i/>
          <w:iCs/>
          <w:smallCaps/>
          <w:sz w:val="28"/>
          <w:szCs w:val="28"/>
          <w:lang w:eastAsia="ru-RU"/>
        </w:rPr>
        <w:t xml:space="preserve"> Национальный доход и доход на душу населения в великих державах в 1914 г.</w:t>
      </w:r>
    </w:p>
    <w:p w:rsidR="00524C04" w:rsidRPr="00524C04" w:rsidRDefault="00524C04" w:rsidP="00524C04">
      <w:pPr>
        <w:shd w:val="clear" w:color="auto" w:fill="FBFBFB"/>
        <w:spacing w:line="360" w:lineRule="auto"/>
        <w:rPr>
          <w:rFonts w:ascii="Times New Roman" w:eastAsia="Times New Roman" w:hAnsi="Times New Roman" w:cs="Times New Roman"/>
          <w:sz w:val="28"/>
          <w:szCs w:val="28"/>
          <w:lang w:eastAsia="ru-RU"/>
        </w:rPr>
      </w:pP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Российская индустриализация осуществлялась на основе больших иностранных инвестиций. К 1914 г. девять десятых угольной промышленности, вся нефтяная промышленность, 40% металлургической промышленности, половина химической промышленности, 28% текстильной промышленности принадлежали иностранцам. Западный капитал и западный технологический и управленческий опыт были существеннейшим элементом российского развития. Россия превратилась в самого большого в мире должника, а западный капитал в критических эпизодах (скажем, в 1899 и 1905 гг.) проявлял очевидную самостоятельность в зависимой от него стране. Никто не мог с уверенностью отрицать угрозу потери суверенитета страны при такой </w:t>
      </w:r>
      <w:r w:rsidRPr="00524C04">
        <w:rPr>
          <w:rFonts w:ascii="Times New Roman" w:eastAsia="Times New Roman" w:hAnsi="Times New Roman" w:cs="Times New Roman"/>
          <w:sz w:val="28"/>
          <w:szCs w:val="28"/>
          <w:lang w:eastAsia="ru-RU"/>
        </w:rPr>
        <w:lastRenderedPageBreak/>
        <w:t>экономической зависимости. Нездоровым симптомом было и то, что основной капитал шел в текстильную и пищевую промышленности, а не в отрасли передовой наукоемкой промышленности. 63% российского экспорта составляла сельскохозяйственная продукция, 11% — древесина. Россия жизненным образом зависела от импорта германских станков и американской сельхозтехники, иностранный долг навис над страной скудных ликвидных ресурсов.</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Любое явление имеет абсолютное и относительное измерение. Россия между 1900 и 1913 гг. увеличила производство</w:t>
      </w:r>
      <w:r>
        <w:rPr>
          <w:rFonts w:ascii="Times New Roman" w:eastAsia="Times New Roman" w:hAnsi="Times New Roman" w:cs="Times New Roman"/>
          <w:sz w:val="28"/>
          <w:szCs w:val="28"/>
          <w:lang w:eastAsia="ru-RU"/>
        </w:rPr>
        <w:t xml:space="preserve"> </w:t>
      </w:r>
      <w:r w:rsidRPr="00524C04">
        <w:rPr>
          <w:rFonts w:ascii="Times New Roman" w:eastAsia="Times New Roman" w:hAnsi="Times New Roman" w:cs="Times New Roman"/>
          <w:sz w:val="28"/>
          <w:szCs w:val="28"/>
          <w:lang w:eastAsia="ru-RU"/>
        </w:rPr>
        <w:t>стали с 2,2 млн. до 4,8 млн. т., но бросок Германии был еще более впечатляющим — с 5,3 до 17,6 млн. т. По мнению американского историка П. Кеннеди, «ужасающим фактом было то, что производительная сила России по отношению к Германии не увеличивалась, а уменьшалась».</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Отставание государства имело и военный аспект. Как мы сейчас знаем, офицеры российского генерального штаба не были в плену безудержного оптимизма: по основным аспектам военного могущества (численность тяжелой артиллерии, количество и качество пулеметов, уровень технической </w:t>
      </w:r>
      <w:proofErr w:type="spellStart"/>
      <w:r w:rsidRPr="00524C04">
        <w:rPr>
          <w:rFonts w:ascii="Times New Roman" w:eastAsia="Times New Roman" w:hAnsi="Times New Roman" w:cs="Times New Roman"/>
          <w:sz w:val="28"/>
          <w:szCs w:val="28"/>
          <w:lang w:eastAsia="ru-RU"/>
        </w:rPr>
        <w:t>обученности</w:t>
      </w:r>
      <w:proofErr w:type="spellEnd"/>
      <w:r w:rsidRPr="00524C04">
        <w:rPr>
          <w:rFonts w:ascii="Times New Roman" w:eastAsia="Times New Roman" w:hAnsi="Times New Roman" w:cs="Times New Roman"/>
          <w:sz w:val="28"/>
          <w:szCs w:val="28"/>
          <w:lang w:eastAsia="ru-RU"/>
        </w:rPr>
        <w:t>, качество средств связи, количество и качество самолетов) Россия отставала от ведущих западноевропейских армий.</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Преодоление отставания было желанной и, казалось, осуществимой целью России. По оценке английского историка, «в 1914 г. Россия успешно шла по пути превращения в полнокровного партнера Европейского сообщества... На протяжении десятилетия, предшествовавшего революции, Россия переживала эру быстро растущего процветания; война с неграмотностью велась с большой энергией, интеллектуальные и культурные отношения с Европой становились все более тесными».</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В крупных российских городах образовались большие колонии иностранцев, вкладывавших свои деньги и предпринимательское умение в российское развитие. Впервые помимо германских появились английские и </w:t>
      </w:r>
      <w:r w:rsidRPr="00524C04">
        <w:rPr>
          <w:rFonts w:ascii="Times New Roman" w:eastAsia="Times New Roman" w:hAnsi="Times New Roman" w:cs="Times New Roman"/>
          <w:sz w:val="28"/>
          <w:szCs w:val="28"/>
          <w:lang w:eastAsia="ru-RU"/>
        </w:rPr>
        <w:lastRenderedPageBreak/>
        <w:t>прочие городские кварталы. В богатых домах требовались иностранные воспитатели и гувернеры.</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За рубежами у России появились друзья. Их мнения о стране и народе были лестными. Скажем, англичанин М. Беринг видел лучшее из русских достоинств в следующем:</w:t>
      </w:r>
    </w:p>
    <w:p w:rsidR="00524C04" w:rsidRPr="00524C04" w:rsidRDefault="00524C04" w:rsidP="00524C04">
      <w:pPr>
        <w:shd w:val="clear" w:color="auto" w:fill="FBFBFB"/>
        <w:spacing w:line="360" w:lineRule="auto"/>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«Русская душа исполнена человеческим христианским состраданием, которое теплее и интенсивнее по своему характеру и выражается с огромной простотой и искренностью — я не видел подобного у других народов, это качество более всего придает очарование русской жизни, сколь убогими ни являются ее внешние обстоятельства»</w:t>
      </w:r>
      <w:hyperlink r:id="rId6" w:history="1">
        <w:r w:rsidRPr="00524C04">
          <w:rPr>
            <w:rFonts w:ascii="Times New Roman" w:eastAsia="Times New Roman" w:hAnsi="Times New Roman" w:cs="Times New Roman"/>
            <w:sz w:val="28"/>
            <w:szCs w:val="28"/>
            <w:lang w:eastAsia="ru-RU"/>
          </w:rPr>
          <w:t>{22}</w:t>
        </w:r>
      </w:hyperlink>
      <w:r w:rsidRPr="00524C04">
        <w:rPr>
          <w:rFonts w:ascii="Times New Roman" w:eastAsia="Times New Roman" w:hAnsi="Times New Roman" w:cs="Times New Roman"/>
          <w:sz w:val="28"/>
          <w:szCs w:val="28"/>
          <w:lang w:eastAsia="ru-RU"/>
        </w:rPr>
        <w:t>.</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Мировой престиж приобрела интеллектуальная жизнь страны. Законодатель литературных вкусов англичанин Мэтью Арнольд пришел к выводу, что в области литературы французы и англичане в конце XIX в. потеряли первенство, переданное стране, «демонстрирующей новое в литературе... Русский роман ныне определяет литературную моду. Мы все должны учить русский язык»</w:t>
      </w:r>
      <w:hyperlink r:id="rId7" w:history="1">
        <w:r w:rsidRPr="00524C04">
          <w:rPr>
            <w:rFonts w:ascii="Times New Roman" w:eastAsia="Times New Roman" w:hAnsi="Times New Roman" w:cs="Times New Roman"/>
            <w:sz w:val="28"/>
            <w:szCs w:val="28"/>
            <w:lang w:eastAsia="ru-RU"/>
          </w:rPr>
          <w:t>{23}</w:t>
        </w:r>
      </w:hyperlink>
      <w:r w:rsidRPr="00524C04">
        <w:rPr>
          <w:rFonts w:ascii="Times New Roman" w:eastAsia="Times New Roman" w:hAnsi="Times New Roman" w:cs="Times New Roman"/>
          <w:sz w:val="28"/>
          <w:szCs w:val="28"/>
          <w:lang w:eastAsia="ru-RU"/>
        </w:rPr>
        <w:t>.</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Последовало признание русской музыки и балета, русской интеллектуальной жизни и науки.</w:t>
      </w:r>
    </w:p>
    <w:p w:rsidR="00524C04" w:rsidRPr="00524C04" w:rsidRDefault="00524C04" w:rsidP="00524C04">
      <w:pPr>
        <w:shd w:val="clear" w:color="auto" w:fill="FBFBFB"/>
        <w:spacing w:after="0" w:line="360" w:lineRule="auto"/>
        <w:jc w:val="center"/>
        <w:outlineLvl w:val="4"/>
        <w:rPr>
          <w:rFonts w:ascii="Times New Roman" w:eastAsia="Times New Roman" w:hAnsi="Times New Roman" w:cs="Times New Roman"/>
          <w:b/>
          <w:bCs/>
          <w:smallCaps/>
          <w:sz w:val="28"/>
          <w:szCs w:val="28"/>
          <w:lang w:eastAsia="ru-RU"/>
        </w:rPr>
      </w:pPr>
      <w:r w:rsidRPr="00524C04">
        <w:rPr>
          <w:rFonts w:ascii="Times New Roman" w:eastAsia="Times New Roman" w:hAnsi="Times New Roman" w:cs="Times New Roman"/>
          <w:b/>
          <w:bCs/>
          <w:smallCaps/>
          <w:sz w:val="28"/>
          <w:szCs w:val="28"/>
          <w:lang w:eastAsia="ru-RU"/>
        </w:rPr>
        <w:t>Поворот Германии от России</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Из Версаля в 1870 году только что коронованный император Вильгельм I телеграфировал царю Александру II:</w:t>
      </w:r>
    </w:p>
    <w:p w:rsidR="00524C04" w:rsidRPr="00524C04" w:rsidRDefault="00524C04" w:rsidP="00524C04">
      <w:pPr>
        <w:shd w:val="clear" w:color="auto" w:fill="FBFBFB"/>
        <w:spacing w:line="360" w:lineRule="auto"/>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«Пруссия никогда не забудет, что именно благодаря Вам война не приобрела большего масштаба»</w:t>
      </w:r>
      <w:hyperlink r:id="rId8" w:history="1">
        <w:r w:rsidRPr="00524C04">
          <w:rPr>
            <w:rFonts w:ascii="Times New Roman" w:eastAsia="Times New Roman" w:hAnsi="Times New Roman" w:cs="Times New Roman"/>
            <w:sz w:val="28"/>
            <w:szCs w:val="28"/>
            <w:lang w:eastAsia="ru-RU"/>
          </w:rPr>
          <w:t>{24}</w:t>
        </w:r>
      </w:hyperlink>
      <w:r w:rsidRPr="00524C04">
        <w:rPr>
          <w:rFonts w:ascii="Times New Roman" w:eastAsia="Times New Roman" w:hAnsi="Times New Roman" w:cs="Times New Roman"/>
          <w:sz w:val="28"/>
          <w:szCs w:val="28"/>
          <w:lang w:eastAsia="ru-RU"/>
        </w:rPr>
        <w:t>.</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Для Германии оборотиться против России, говорил Вильгельм I, будет равнозначно измене. Этот курс соответствовал германской геополитике. Германский император Вильгельм, если верить историческим источникам, до своей смерти (9 марта 1888 г.) являлся убежденным сторонником германо-русской дружбы — он [21] завещал ее наследнику, находившемуся у его одра</w:t>
      </w:r>
      <w:hyperlink r:id="rId9" w:history="1">
        <w:r w:rsidRPr="00524C04">
          <w:rPr>
            <w:rFonts w:ascii="Times New Roman" w:eastAsia="Times New Roman" w:hAnsi="Times New Roman" w:cs="Times New Roman"/>
            <w:sz w:val="28"/>
            <w:szCs w:val="28"/>
            <w:lang w:eastAsia="ru-RU"/>
          </w:rPr>
          <w:t>{25}</w:t>
        </w:r>
      </w:hyperlink>
      <w:r w:rsidRPr="00524C04">
        <w:rPr>
          <w:rFonts w:ascii="Times New Roman" w:eastAsia="Times New Roman" w:hAnsi="Times New Roman" w:cs="Times New Roman"/>
          <w:sz w:val="28"/>
          <w:szCs w:val="28"/>
          <w:lang w:eastAsia="ru-RU"/>
        </w:rPr>
        <w:t xml:space="preserve">. Почти целый век Германия и Россия провели в состоянии </w:t>
      </w:r>
      <w:r w:rsidRPr="00524C04">
        <w:rPr>
          <w:rFonts w:ascii="Times New Roman" w:eastAsia="Times New Roman" w:hAnsi="Times New Roman" w:cs="Times New Roman"/>
          <w:sz w:val="28"/>
          <w:szCs w:val="28"/>
          <w:lang w:eastAsia="ru-RU"/>
        </w:rPr>
        <w:lastRenderedPageBreak/>
        <w:t>взаимопонимания. Князь Бисмарк признался кайзеру Вильгельму II, что его главной внешнеполитической задачей является предотвращение союза дружественной России и не всегда дружественной Англии</w:t>
      </w:r>
      <w:hyperlink r:id="rId10" w:history="1">
        <w:r w:rsidRPr="00524C04">
          <w:rPr>
            <w:rFonts w:ascii="Times New Roman" w:eastAsia="Times New Roman" w:hAnsi="Times New Roman" w:cs="Times New Roman"/>
            <w:sz w:val="28"/>
            <w:szCs w:val="28"/>
            <w:lang w:eastAsia="ru-RU"/>
          </w:rPr>
          <w:t>{26}</w:t>
        </w:r>
      </w:hyperlink>
      <w:r w:rsidRPr="00524C04">
        <w:rPr>
          <w:rFonts w:ascii="Times New Roman" w:eastAsia="Times New Roman" w:hAnsi="Times New Roman" w:cs="Times New Roman"/>
          <w:sz w:val="28"/>
          <w:szCs w:val="28"/>
          <w:lang w:eastAsia="ru-RU"/>
        </w:rPr>
        <w:t>.</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Набирающая мощь Германия все меньше нуждалась в русской дружбе. 6 февраля 1888 г. Бисмарк провозгласил в германском рейхстаге:</w:t>
      </w:r>
    </w:p>
    <w:p w:rsidR="00524C04" w:rsidRPr="00524C04" w:rsidRDefault="00524C04" w:rsidP="00524C04">
      <w:pPr>
        <w:shd w:val="clear" w:color="auto" w:fill="FBFBFB"/>
        <w:spacing w:line="360" w:lineRule="auto"/>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«Мы больше не просим о любви ни Францию, ни Россию. Мы не просим ни о чьем одолжении. Мы, немцы, боимся на этой земле Господа Бога, и никого более!»</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Рейхстаг взорвался овацией, старый фельдмаршал </w:t>
      </w:r>
      <w:proofErr w:type="spellStart"/>
      <w:r w:rsidRPr="00524C04">
        <w:rPr>
          <w:rFonts w:ascii="Times New Roman" w:eastAsia="Times New Roman" w:hAnsi="Times New Roman" w:cs="Times New Roman"/>
          <w:sz w:val="28"/>
          <w:szCs w:val="28"/>
          <w:lang w:eastAsia="ru-RU"/>
        </w:rPr>
        <w:t>Мольтке</w:t>
      </w:r>
      <w:proofErr w:type="spellEnd"/>
      <w:r w:rsidRPr="00524C04">
        <w:rPr>
          <w:rFonts w:ascii="Times New Roman" w:eastAsia="Times New Roman" w:hAnsi="Times New Roman" w:cs="Times New Roman"/>
          <w:sz w:val="28"/>
          <w:szCs w:val="28"/>
          <w:lang w:eastAsia="ru-RU"/>
        </w:rPr>
        <w:t xml:space="preserve"> рыдал.</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С окончанием эры Бисмарка перед Германией стояли четыре возможных пути.</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proofErr w:type="gramStart"/>
      <w:r w:rsidRPr="00524C04">
        <w:rPr>
          <w:rFonts w:ascii="Times New Roman" w:eastAsia="Times New Roman" w:hAnsi="Times New Roman" w:cs="Times New Roman"/>
          <w:i/>
          <w:iCs/>
          <w:sz w:val="28"/>
          <w:szCs w:val="28"/>
          <w:lang w:eastAsia="ru-RU"/>
        </w:rPr>
        <w:t>Первый</w:t>
      </w:r>
      <w:r w:rsidRPr="00524C04">
        <w:rPr>
          <w:rFonts w:ascii="Times New Roman" w:eastAsia="Times New Roman" w:hAnsi="Times New Roman" w:cs="Times New Roman"/>
          <w:sz w:val="28"/>
          <w:szCs w:val="28"/>
          <w:lang w:eastAsia="ru-RU"/>
        </w:rPr>
        <w:t>  —</w:t>
      </w:r>
      <w:proofErr w:type="gramEnd"/>
      <w:r w:rsidRPr="00524C04">
        <w:rPr>
          <w:rFonts w:ascii="Times New Roman" w:eastAsia="Times New Roman" w:hAnsi="Times New Roman" w:cs="Times New Roman"/>
          <w:sz w:val="28"/>
          <w:szCs w:val="28"/>
          <w:lang w:eastAsia="ru-RU"/>
        </w:rPr>
        <w:t xml:space="preserve"> продолжить традицию великого канцлера, основанную на поддержании хороших отношений с двумя величайшими странами «моря и суши» — Великобританией и Россией, стараться не пересекать их пути, а тем временем развивать бесподобную германскую науку и промышленность.</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i/>
          <w:iCs/>
          <w:sz w:val="28"/>
          <w:szCs w:val="28"/>
          <w:lang w:eastAsia="ru-RU"/>
        </w:rPr>
        <w:t>Второй</w:t>
      </w:r>
      <w:r w:rsidRPr="00524C04">
        <w:rPr>
          <w:rFonts w:ascii="Times New Roman" w:eastAsia="Times New Roman" w:hAnsi="Times New Roman" w:cs="Times New Roman"/>
          <w:sz w:val="28"/>
          <w:szCs w:val="28"/>
          <w:lang w:eastAsia="ru-RU"/>
        </w:rPr>
        <w:t xml:space="preserve"> путь предполагал создание великого океанского флота (что неизбежно </w:t>
      </w:r>
      <w:proofErr w:type="spellStart"/>
      <w:r w:rsidRPr="00524C04">
        <w:rPr>
          <w:rFonts w:ascii="Times New Roman" w:eastAsia="Times New Roman" w:hAnsi="Times New Roman" w:cs="Times New Roman"/>
          <w:sz w:val="28"/>
          <w:szCs w:val="28"/>
          <w:lang w:eastAsia="ru-RU"/>
        </w:rPr>
        <w:t>антагонизировало</w:t>
      </w:r>
      <w:proofErr w:type="spellEnd"/>
      <w:r w:rsidRPr="00524C04">
        <w:rPr>
          <w:rFonts w:ascii="Times New Roman" w:eastAsia="Times New Roman" w:hAnsi="Times New Roman" w:cs="Times New Roman"/>
          <w:sz w:val="28"/>
          <w:szCs w:val="28"/>
          <w:lang w:eastAsia="ru-RU"/>
        </w:rPr>
        <w:t xml:space="preserve"> Британию) и поощрение движения России в тихоокеанском направлении. При этом два европейских соседа, Германия и Россия, как бы совместно отбирали у Британии господство над обоими океанами (Германия — над Атлантическим, Россия — над Тихим).</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i/>
          <w:iCs/>
          <w:sz w:val="28"/>
          <w:szCs w:val="28"/>
          <w:lang w:eastAsia="ru-RU"/>
        </w:rPr>
        <w:t>Третий</w:t>
      </w:r>
      <w:r w:rsidRPr="00524C04">
        <w:rPr>
          <w:rFonts w:ascii="Times New Roman" w:eastAsia="Times New Roman" w:hAnsi="Times New Roman" w:cs="Times New Roman"/>
          <w:sz w:val="28"/>
          <w:szCs w:val="28"/>
          <w:lang w:eastAsia="ru-RU"/>
        </w:rPr>
        <w:t> путь предполагал восстановление «Союза трех императоров», сближение германского и славянского элементов в Европе против англосаксов.</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i/>
          <w:iCs/>
          <w:sz w:val="28"/>
          <w:szCs w:val="28"/>
          <w:lang w:eastAsia="ru-RU"/>
        </w:rPr>
        <w:t>Четвертый</w:t>
      </w:r>
      <w:r w:rsidRPr="00524C04">
        <w:rPr>
          <w:rFonts w:ascii="Times New Roman" w:eastAsia="Times New Roman" w:hAnsi="Times New Roman" w:cs="Times New Roman"/>
          <w:sz w:val="28"/>
          <w:szCs w:val="28"/>
          <w:lang w:eastAsia="ru-RU"/>
        </w:rPr>
        <w:t> путь — двинуться к теплым морям на турецком направлении, расширить свое влияние на Ближнем Востоке, действуя при этом по возможности совместно с Британией против России.</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Кайзер Вильгельм II и его окружение в конечном счете пренебрегли первыми тремя дорогами. </w:t>
      </w:r>
      <w:r w:rsidRPr="00524C04">
        <w:rPr>
          <w:rFonts w:ascii="Times New Roman" w:eastAsia="Times New Roman" w:hAnsi="Times New Roman" w:cs="Times New Roman"/>
          <w:i/>
          <w:iCs/>
          <w:sz w:val="28"/>
          <w:szCs w:val="28"/>
          <w:lang w:eastAsia="ru-RU"/>
        </w:rPr>
        <w:t>Первый</w:t>
      </w:r>
      <w:r w:rsidRPr="00524C04">
        <w:rPr>
          <w:rFonts w:ascii="Times New Roman" w:eastAsia="Times New Roman" w:hAnsi="Times New Roman" w:cs="Times New Roman"/>
          <w:sz w:val="28"/>
          <w:szCs w:val="28"/>
          <w:lang w:eastAsia="ru-RU"/>
        </w:rPr>
        <w:t xml:space="preserve"> путь, с их точки зрения, «закрепощал» динамическую мощь Германии и предполагал своего рода «отречение» от мировой политики во вступившем в фазу империализма мире. Все </w:t>
      </w:r>
      <w:r w:rsidRPr="00524C04">
        <w:rPr>
          <w:rFonts w:ascii="Times New Roman" w:eastAsia="Times New Roman" w:hAnsi="Times New Roman" w:cs="Times New Roman"/>
          <w:sz w:val="28"/>
          <w:szCs w:val="28"/>
          <w:lang w:eastAsia="ru-RU"/>
        </w:rPr>
        <w:lastRenderedPageBreak/>
        <w:t>же </w:t>
      </w:r>
      <w:r w:rsidRPr="00524C04">
        <w:rPr>
          <w:rFonts w:ascii="Times New Roman" w:eastAsia="Times New Roman" w:hAnsi="Times New Roman" w:cs="Times New Roman"/>
          <w:i/>
          <w:iCs/>
          <w:sz w:val="28"/>
          <w:szCs w:val="28"/>
          <w:lang w:eastAsia="ru-RU"/>
        </w:rPr>
        <w:t>первый</w:t>
      </w:r>
      <w:r w:rsidRPr="00524C04">
        <w:rPr>
          <w:rFonts w:ascii="Times New Roman" w:eastAsia="Times New Roman" w:hAnsi="Times New Roman" w:cs="Times New Roman"/>
          <w:sz w:val="28"/>
          <w:szCs w:val="28"/>
          <w:lang w:eastAsia="ru-RU"/>
        </w:rPr>
        <w:t> путь в значительной мере преобладал в первые годы царствования Николая II и Вильгельма II. </w:t>
      </w:r>
      <w:r w:rsidRPr="00524C04">
        <w:rPr>
          <w:rFonts w:ascii="Times New Roman" w:eastAsia="Times New Roman" w:hAnsi="Times New Roman" w:cs="Times New Roman"/>
          <w:i/>
          <w:iCs/>
          <w:sz w:val="28"/>
          <w:szCs w:val="28"/>
          <w:lang w:eastAsia="ru-RU"/>
        </w:rPr>
        <w:t>Второй</w:t>
      </w:r>
      <w:r w:rsidRPr="00524C04">
        <w:rPr>
          <w:rFonts w:ascii="Times New Roman" w:eastAsia="Times New Roman" w:hAnsi="Times New Roman" w:cs="Times New Roman"/>
          <w:sz w:val="28"/>
          <w:szCs w:val="28"/>
          <w:lang w:eastAsia="ru-RU"/>
        </w:rPr>
        <w:t xml:space="preserve"> путь сдерживал создателей мирового флота, сгруппировавшихся вокруг адмирала </w:t>
      </w:r>
      <w:proofErr w:type="spellStart"/>
      <w:r w:rsidRPr="00524C04">
        <w:rPr>
          <w:rFonts w:ascii="Times New Roman" w:eastAsia="Times New Roman" w:hAnsi="Times New Roman" w:cs="Times New Roman"/>
          <w:sz w:val="28"/>
          <w:szCs w:val="28"/>
          <w:lang w:eastAsia="ru-RU"/>
        </w:rPr>
        <w:t>Тирпица</w:t>
      </w:r>
      <w:proofErr w:type="spellEnd"/>
      <w:r w:rsidRPr="00524C04">
        <w:rPr>
          <w:rFonts w:ascii="Times New Roman" w:eastAsia="Times New Roman" w:hAnsi="Times New Roman" w:cs="Times New Roman"/>
          <w:sz w:val="28"/>
          <w:szCs w:val="28"/>
          <w:lang w:eastAsia="ru-RU"/>
        </w:rPr>
        <w:t>. Кайзер начал его реализацию, начав в начале века строительство океанского флота и поддерживая Россию против Японии. </w:t>
      </w:r>
      <w:r w:rsidRPr="00524C04">
        <w:rPr>
          <w:rFonts w:ascii="Times New Roman" w:eastAsia="Times New Roman" w:hAnsi="Times New Roman" w:cs="Times New Roman"/>
          <w:i/>
          <w:iCs/>
          <w:sz w:val="28"/>
          <w:szCs w:val="28"/>
          <w:lang w:eastAsia="ru-RU"/>
        </w:rPr>
        <w:t>Третий</w:t>
      </w:r>
      <w:r w:rsidRPr="00524C04">
        <w:rPr>
          <w:rFonts w:ascii="Times New Roman" w:eastAsia="Times New Roman" w:hAnsi="Times New Roman" w:cs="Times New Roman"/>
          <w:sz w:val="28"/>
          <w:szCs w:val="28"/>
          <w:lang w:eastAsia="ru-RU"/>
        </w:rPr>
        <w:t> путь получал преобладание лишь спорадически (</w:t>
      </w:r>
      <w:proofErr w:type="spellStart"/>
      <w:r w:rsidRPr="00524C04">
        <w:rPr>
          <w:rFonts w:ascii="Times New Roman" w:eastAsia="Times New Roman" w:hAnsi="Times New Roman" w:cs="Times New Roman"/>
          <w:sz w:val="28"/>
          <w:szCs w:val="28"/>
          <w:lang w:eastAsia="ru-RU"/>
        </w:rPr>
        <w:t>Бьерк</w:t>
      </w:r>
      <w:proofErr w:type="spellEnd"/>
      <w:r w:rsidRPr="00524C04">
        <w:rPr>
          <w:rFonts w:ascii="Times New Roman" w:eastAsia="Times New Roman" w:hAnsi="Times New Roman" w:cs="Times New Roman"/>
          <w:sz w:val="28"/>
          <w:szCs w:val="28"/>
          <w:lang w:eastAsia="ru-RU"/>
        </w:rPr>
        <w:t>) и не имел постоянной линии. Возобладал искаженный вариант </w:t>
      </w:r>
      <w:r w:rsidRPr="00524C04">
        <w:rPr>
          <w:rFonts w:ascii="Times New Roman" w:eastAsia="Times New Roman" w:hAnsi="Times New Roman" w:cs="Times New Roman"/>
          <w:i/>
          <w:iCs/>
          <w:sz w:val="28"/>
          <w:szCs w:val="28"/>
          <w:lang w:eastAsia="ru-RU"/>
        </w:rPr>
        <w:t>четвертого</w:t>
      </w:r>
      <w:r w:rsidRPr="00524C04">
        <w:rPr>
          <w:rFonts w:ascii="Times New Roman" w:eastAsia="Times New Roman" w:hAnsi="Times New Roman" w:cs="Times New Roman"/>
          <w:sz w:val="28"/>
          <w:szCs w:val="28"/>
          <w:lang w:eastAsia="ru-RU"/>
        </w:rPr>
        <w:t xml:space="preserve"> пути: на Балканы Германия </w:t>
      </w:r>
      <w:proofErr w:type="gramStart"/>
      <w:r w:rsidRPr="00524C04">
        <w:rPr>
          <w:rFonts w:ascii="Times New Roman" w:eastAsia="Times New Roman" w:hAnsi="Times New Roman" w:cs="Times New Roman"/>
          <w:sz w:val="28"/>
          <w:szCs w:val="28"/>
          <w:lang w:eastAsia="ru-RU"/>
        </w:rPr>
        <w:t>двинулась</w:t>
      </w:r>
      <w:proofErr w:type="gramEnd"/>
      <w:r w:rsidRPr="00524C04">
        <w:rPr>
          <w:rFonts w:ascii="Times New Roman" w:eastAsia="Times New Roman" w:hAnsi="Times New Roman" w:cs="Times New Roman"/>
          <w:sz w:val="28"/>
          <w:szCs w:val="28"/>
          <w:lang w:eastAsia="ru-RU"/>
        </w:rPr>
        <w:t xml:space="preserve"> опираясь не на Британию, а на стремящуюся укрепить германский элемент своей многоплеменной империи Вены. Наследник Бисмарка канцлер </w:t>
      </w:r>
      <w:proofErr w:type="spellStart"/>
      <w:r w:rsidRPr="00524C04">
        <w:rPr>
          <w:rFonts w:ascii="Times New Roman" w:eastAsia="Times New Roman" w:hAnsi="Times New Roman" w:cs="Times New Roman"/>
          <w:sz w:val="28"/>
          <w:szCs w:val="28"/>
          <w:lang w:eastAsia="ru-RU"/>
        </w:rPr>
        <w:t>Каприви</w:t>
      </w:r>
      <w:proofErr w:type="spellEnd"/>
      <w:r w:rsidRPr="00524C04">
        <w:rPr>
          <w:rFonts w:ascii="Times New Roman" w:eastAsia="Times New Roman" w:hAnsi="Times New Roman" w:cs="Times New Roman"/>
          <w:sz w:val="28"/>
          <w:szCs w:val="28"/>
          <w:lang w:eastAsia="ru-RU"/>
        </w:rPr>
        <w:t xml:space="preserve"> был решительным сторонником австрийского направления, именно он был «архитектором» тройственного союза Германии, Австро-Венгрии и Италии. Он не усматривал в союзе с Россией перспектив для Германии, которая хотела консолидировать Центральную Европу, держать в состоянии постоянного напряжения Францию и отвратить от европейских дел Россию.</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Отказ продлить «Союз трех императоров», был, по мнению английского историка М. </w:t>
      </w:r>
      <w:proofErr w:type="spellStart"/>
      <w:r w:rsidRPr="00524C04">
        <w:rPr>
          <w:rFonts w:ascii="Times New Roman" w:eastAsia="Times New Roman" w:hAnsi="Times New Roman" w:cs="Times New Roman"/>
          <w:sz w:val="28"/>
          <w:szCs w:val="28"/>
          <w:lang w:eastAsia="ru-RU"/>
        </w:rPr>
        <w:t>Бальфура</w:t>
      </w:r>
      <w:proofErr w:type="spellEnd"/>
      <w:r w:rsidRPr="00524C04">
        <w:rPr>
          <w:rFonts w:ascii="Times New Roman" w:eastAsia="Times New Roman" w:hAnsi="Times New Roman" w:cs="Times New Roman"/>
          <w:sz w:val="28"/>
          <w:szCs w:val="28"/>
          <w:lang w:eastAsia="ru-RU"/>
        </w:rPr>
        <w:t>, «ударом по лицу» России</w:t>
      </w:r>
      <w:hyperlink r:id="rId11" w:history="1">
        <w:r w:rsidRPr="00524C04">
          <w:rPr>
            <w:rFonts w:ascii="Times New Roman" w:eastAsia="Times New Roman" w:hAnsi="Times New Roman" w:cs="Times New Roman"/>
            <w:sz w:val="28"/>
            <w:szCs w:val="28"/>
            <w:lang w:eastAsia="ru-RU"/>
          </w:rPr>
          <w:t>{27}</w:t>
        </w:r>
      </w:hyperlink>
      <w:r w:rsidRPr="00524C04">
        <w:rPr>
          <w:rFonts w:ascii="Times New Roman" w:eastAsia="Times New Roman" w:hAnsi="Times New Roman" w:cs="Times New Roman"/>
          <w:sz w:val="28"/>
          <w:szCs w:val="28"/>
          <w:lang w:eastAsia="ru-RU"/>
        </w:rPr>
        <w:t>. Шувалов [22] записал в дневнике: «Очень болезненное для нас решение»</w:t>
      </w:r>
      <w:hyperlink r:id="rId12" w:history="1">
        <w:r w:rsidRPr="00524C04">
          <w:rPr>
            <w:rFonts w:ascii="Times New Roman" w:eastAsia="Times New Roman" w:hAnsi="Times New Roman" w:cs="Times New Roman"/>
            <w:sz w:val="28"/>
            <w:szCs w:val="28"/>
            <w:lang w:eastAsia="ru-RU"/>
          </w:rPr>
          <w:t>{28}</w:t>
        </w:r>
      </w:hyperlink>
      <w:r w:rsidRPr="00524C04">
        <w:rPr>
          <w:rFonts w:ascii="Times New Roman" w:eastAsia="Times New Roman" w:hAnsi="Times New Roman" w:cs="Times New Roman"/>
          <w:sz w:val="28"/>
          <w:szCs w:val="28"/>
          <w:lang w:eastAsia="ru-RU"/>
        </w:rPr>
        <w:t>.</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Победила та линия германской политики, которая основывалась на максиме, что сотрудничество между Германией и Россией, между тевтонами и славянами стало исторически неуместным.</w:t>
      </w:r>
    </w:p>
    <w:p w:rsidR="00524C04" w:rsidRPr="00524C04" w:rsidRDefault="00524C04" w:rsidP="00524C04">
      <w:pPr>
        <w:shd w:val="clear" w:color="auto" w:fill="FBFBFB"/>
        <w:spacing w:after="0" w:line="360" w:lineRule="auto"/>
        <w:ind w:firstLine="612"/>
        <w:jc w:val="both"/>
        <w:rPr>
          <w:rFonts w:ascii="Times New Roman" w:eastAsia="Times New Roman" w:hAnsi="Times New Roman" w:cs="Times New Roman"/>
          <w:sz w:val="28"/>
          <w:szCs w:val="28"/>
          <w:lang w:eastAsia="ru-RU"/>
        </w:rPr>
      </w:pPr>
      <w:r w:rsidRPr="00524C04">
        <w:rPr>
          <w:rFonts w:ascii="Times New Roman" w:eastAsia="Times New Roman" w:hAnsi="Times New Roman" w:cs="Times New Roman"/>
          <w:sz w:val="28"/>
          <w:szCs w:val="28"/>
          <w:lang w:eastAsia="ru-RU"/>
        </w:rPr>
        <w:t xml:space="preserve">Берлин отказался возобновить так называемый Договор о подстраховке, сохранявший дружественность России и Германии Немалое число германских историков ставит </w:t>
      </w:r>
      <w:proofErr w:type="spellStart"/>
      <w:r w:rsidRPr="00524C04">
        <w:rPr>
          <w:rFonts w:ascii="Times New Roman" w:eastAsia="Times New Roman" w:hAnsi="Times New Roman" w:cs="Times New Roman"/>
          <w:sz w:val="28"/>
          <w:szCs w:val="28"/>
          <w:lang w:eastAsia="ru-RU"/>
        </w:rPr>
        <w:t>взаимосближение</w:t>
      </w:r>
      <w:proofErr w:type="spellEnd"/>
      <w:r w:rsidRPr="00524C04">
        <w:rPr>
          <w:rFonts w:ascii="Times New Roman" w:eastAsia="Times New Roman" w:hAnsi="Times New Roman" w:cs="Times New Roman"/>
          <w:sz w:val="28"/>
          <w:szCs w:val="28"/>
          <w:lang w:eastAsia="ru-RU"/>
        </w:rPr>
        <w:t xml:space="preserve"> соседей Германии в вину канцлеру Б. фон </w:t>
      </w:r>
      <w:proofErr w:type="spellStart"/>
      <w:r w:rsidRPr="00524C04">
        <w:rPr>
          <w:rFonts w:ascii="Times New Roman" w:eastAsia="Times New Roman" w:hAnsi="Times New Roman" w:cs="Times New Roman"/>
          <w:sz w:val="28"/>
          <w:szCs w:val="28"/>
          <w:lang w:eastAsia="ru-RU"/>
        </w:rPr>
        <w:t>Бюлову</w:t>
      </w:r>
      <w:proofErr w:type="spellEnd"/>
      <w:r w:rsidRPr="00524C04">
        <w:rPr>
          <w:rFonts w:ascii="Times New Roman" w:eastAsia="Times New Roman" w:hAnsi="Times New Roman" w:cs="Times New Roman"/>
          <w:sz w:val="28"/>
          <w:szCs w:val="28"/>
          <w:lang w:eastAsia="ru-RU"/>
        </w:rPr>
        <w:t xml:space="preserve">, который «привязал превосходный германский фрегат к утлому судну Австро-Венгрии», главным достоинством которой была полная зависимость от Берлина. Такие историки, как Э. Бранденбург, считают </w:t>
      </w:r>
      <w:proofErr w:type="spellStart"/>
      <w:r w:rsidRPr="00524C04">
        <w:rPr>
          <w:rFonts w:ascii="Times New Roman" w:eastAsia="Times New Roman" w:hAnsi="Times New Roman" w:cs="Times New Roman"/>
          <w:sz w:val="28"/>
          <w:szCs w:val="28"/>
          <w:lang w:eastAsia="ru-RU"/>
        </w:rPr>
        <w:t>Бюлова</w:t>
      </w:r>
      <w:proofErr w:type="spellEnd"/>
      <w:r w:rsidRPr="00524C04">
        <w:rPr>
          <w:rFonts w:ascii="Times New Roman" w:eastAsia="Times New Roman" w:hAnsi="Times New Roman" w:cs="Times New Roman"/>
          <w:sz w:val="28"/>
          <w:szCs w:val="28"/>
          <w:lang w:eastAsia="ru-RU"/>
        </w:rPr>
        <w:t xml:space="preserve"> виновным в отклонении предложения английского министра колоний Дж. Чемберлена о разрешении противоречий и мире (этот отказ в конечном счете способствовал вовлечению Великобритании в орбиту франко-русского союза). Началось провоцировании России германским сближением с Турцией и безмерной </w:t>
      </w:r>
      <w:r w:rsidRPr="00524C04">
        <w:rPr>
          <w:rFonts w:ascii="Times New Roman" w:eastAsia="Times New Roman" w:hAnsi="Times New Roman" w:cs="Times New Roman"/>
          <w:sz w:val="28"/>
          <w:szCs w:val="28"/>
          <w:lang w:eastAsia="ru-RU"/>
        </w:rPr>
        <w:lastRenderedPageBreak/>
        <w:t>поддержкой Австрии на Балканах</w:t>
      </w:r>
      <w:hyperlink r:id="rId13" w:history="1">
        <w:r w:rsidRPr="00524C04">
          <w:rPr>
            <w:rFonts w:ascii="Times New Roman" w:eastAsia="Times New Roman" w:hAnsi="Times New Roman" w:cs="Times New Roman"/>
            <w:sz w:val="28"/>
            <w:szCs w:val="28"/>
            <w:lang w:eastAsia="ru-RU"/>
          </w:rPr>
          <w:t>{29}</w:t>
        </w:r>
      </w:hyperlink>
      <w:r w:rsidRPr="00524C04">
        <w:rPr>
          <w:rFonts w:ascii="Times New Roman" w:eastAsia="Times New Roman" w:hAnsi="Times New Roman" w:cs="Times New Roman"/>
          <w:sz w:val="28"/>
          <w:szCs w:val="28"/>
          <w:lang w:eastAsia="ru-RU"/>
        </w:rPr>
        <w:t xml:space="preserve">. </w:t>
      </w:r>
      <w:proofErr w:type="spellStart"/>
      <w:r w:rsidRPr="00524C04">
        <w:rPr>
          <w:rFonts w:ascii="Times New Roman" w:eastAsia="Times New Roman" w:hAnsi="Times New Roman" w:cs="Times New Roman"/>
          <w:sz w:val="28"/>
          <w:szCs w:val="28"/>
          <w:lang w:eastAsia="ru-RU"/>
        </w:rPr>
        <w:t>Бюлова</w:t>
      </w:r>
      <w:proofErr w:type="spellEnd"/>
      <w:r w:rsidRPr="00524C04">
        <w:rPr>
          <w:rFonts w:ascii="Times New Roman" w:eastAsia="Times New Roman" w:hAnsi="Times New Roman" w:cs="Times New Roman"/>
          <w:sz w:val="28"/>
          <w:szCs w:val="28"/>
          <w:lang w:eastAsia="ru-RU"/>
        </w:rPr>
        <w:t xml:space="preserve"> винят в предательстве идейного наследия Бисмарка, категорически отвергавшего политику силового выяснения отношений с Россией.</w:t>
      </w:r>
    </w:p>
    <w:p w:rsidR="00DF46C1" w:rsidRDefault="00DF46C1" w:rsidP="00524C04">
      <w:pPr>
        <w:spacing w:line="360" w:lineRule="auto"/>
      </w:pPr>
    </w:p>
    <w:sectPr w:rsidR="00DF46C1" w:rsidSect="009A31BB">
      <w:pgSz w:w="11907" w:h="16840" w:code="9"/>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04"/>
    <w:rsid w:val="0005361B"/>
    <w:rsid w:val="00070F6E"/>
    <w:rsid w:val="000C3B95"/>
    <w:rsid w:val="000C6998"/>
    <w:rsid w:val="003259A4"/>
    <w:rsid w:val="003B3B9C"/>
    <w:rsid w:val="00496BF7"/>
    <w:rsid w:val="004A61B1"/>
    <w:rsid w:val="004B6048"/>
    <w:rsid w:val="004F7E5C"/>
    <w:rsid w:val="00524C04"/>
    <w:rsid w:val="005F759B"/>
    <w:rsid w:val="006104B5"/>
    <w:rsid w:val="006355D2"/>
    <w:rsid w:val="00734FDD"/>
    <w:rsid w:val="00753AE7"/>
    <w:rsid w:val="007C36CA"/>
    <w:rsid w:val="00815A31"/>
    <w:rsid w:val="008D5934"/>
    <w:rsid w:val="00993151"/>
    <w:rsid w:val="009A31BB"/>
    <w:rsid w:val="00A742DC"/>
    <w:rsid w:val="00AB330A"/>
    <w:rsid w:val="00AC3360"/>
    <w:rsid w:val="00AC3F9F"/>
    <w:rsid w:val="00AE671F"/>
    <w:rsid w:val="00AF75C5"/>
    <w:rsid w:val="00B42CFF"/>
    <w:rsid w:val="00B452AF"/>
    <w:rsid w:val="00BB293E"/>
    <w:rsid w:val="00BC5DF1"/>
    <w:rsid w:val="00BE6592"/>
    <w:rsid w:val="00DC700D"/>
    <w:rsid w:val="00DF46C1"/>
    <w:rsid w:val="00ED0E28"/>
    <w:rsid w:val="00EE6F61"/>
    <w:rsid w:val="00FF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041"/>
  <w15:chartTrackingRefBased/>
  <w15:docId w15:val="{249787CE-A836-40A7-88E2-65800AB6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4C04"/>
  </w:style>
  <w:style w:type="character" w:customStyle="1" w:styleId="a4">
    <w:name w:val="a"/>
    <w:basedOn w:val="a0"/>
    <w:rsid w:val="00524C04"/>
  </w:style>
  <w:style w:type="character" w:customStyle="1" w:styleId="p">
    <w:name w:val="p"/>
    <w:basedOn w:val="a0"/>
    <w:rsid w:val="0052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0131">
      <w:bodyDiv w:val="1"/>
      <w:marLeft w:val="0"/>
      <w:marRight w:val="0"/>
      <w:marTop w:val="0"/>
      <w:marBottom w:val="0"/>
      <w:divBdr>
        <w:top w:val="none" w:sz="0" w:space="0" w:color="auto"/>
        <w:left w:val="none" w:sz="0" w:space="0" w:color="auto"/>
        <w:bottom w:val="none" w:sz="0" w:space="0" w:color="auto"/>
        <w:right w:val="none" w:sz="0" w:space="0" w:color="auto"/>
      </w:divBdr>
      <w:divsChild>
        <w:div w:id="1767119182">
          <w:blockQuote w:val="1"/>
          <w:marLeft w:val="1900"/>
          <w:marRight w:val="1900"/>
          <w:marTop w:val="380"/>
          <w:marBottom w:val="380"/>
          <w:divBdr>
            <w:top w:val="none" w:sz="0" w:space="0" w:color="auto"/>
            <w:left w:val="none" w:sz="0" w:space="0" w:color="auto"/>
            <w:bottom w:val="none" w:sz="0" w:space="0" w:color="auto"/>
            <w:right w:val="none" w:sz="0" w:space="0" w:color="auto"/>
          </w:divBdr>
        </w:div>
        <w:div w:id="1392074542">
          <w:blockQuote w:val="1"/>
          <w:marLeft w:val="1900"/>
          <w:marRight w:val="1900"/>
          <w:marTop w:val="380"/>
          <w:marBottom w:val="380"/>
          <w:divBdr>
            <w:top w:val="none" w:sz="0" w:space="0" w:color="auto"/>
            <w:left w:val="none" w:sz="0" w:space="0" w:color="auto"/>
            <w:bottom w:val="none" w:sz="0" w:space="0" w:color="auto"/>
            <w:right w:val="none" w:sz="0" w:space="0" w:color="auto"/>
          </w:divBdr>
        </w:div>
        <w:div w:id="1930762">
          <w:blockQuote w:val="1"/>
          <w:marLeft w:val="1900"/>
          <w:marRight w:val="1900"/>
          <w:marTop w:val="380"/>
          <w:marBottom w:val="380"/>
          <w:divBdr>
            <w:top w:val="none" w:sz="0" w:space="0" w:color="auto"/>
            <w:left w:val="none" w:sz="0" w:space="0" w:color="auto"/>
            <w:bottom w:val="none" w:sz="0" w:space="0" w:color="auto"/>
            <w:right w:val="none" w:sz="0" w:space="0" w:color="auto"/>
          </w:divBdr>
        </w:div>
        <w:div w:id="912547190">
          <w:marLeft w:val="150"/>
          <w:marRight w:val="0"/>
          <w:marTop w:val="150"/>
          <w:marBottom w:val="300"/>
          <w:divBdr>
            <w:top w:val="none" w:sz="0" w:space="0" w:color="auto"/>
            <w:left w:val="none" w:sz="0" w:space="0" w:color="auto"/>
            <w:bottom w:val="none" w:sz="0" w:space="0" w:color="auto"/>
            <w:right w:val="none" w:sz="0" w:space="0" w:color="auto"/>
          </w:divBdr>
        </w:div>
        <w:div w:id="249050428">
          <w:blockQuote w:val="1"/>
          <w:marLeft w:val="1900"/>
          <w:marRight w:val="1900"/>
          <w:marTop w:val="380"/>
          <w:marBottom w:val="380"/>
          <w:divBdr>
            <w:top w:val="none" w:sz="0" w:space="0" w:color="auto"/>
            <w:left w:val="none" w:sz="0" w:space="0" w:color="auto"/>
            <w:bottom w:val="none" w:sz="0" w:space="0" w:color="auto"/>
            <w:right w:val="none" w:sz="0" w:space="0" w:color="auto"/>
          </w:divBdr>
        </w:div>
        <w:div w:id="1429614328">
          <w:blockQuote w:val="1"/>
          <w:marLeft w:val="1900"/>
          <w:marRight w:val="1900"/>
          <w:marTop w:val="380"/>
          <w:marBottom w:val="380"/>
          <w:divBdr>
            <w:top w:val="none" w:sz="0" w:space="0" w:color="auto"/>
            <w:left w:val="none" w:sz="0" w:space="0" w:color="auto"/>
            <w:bottom w:val="none" w:sz="0" w:space="0" w:color="auto"/>
            <w:right w:val="none" w:sz="0" w:space="0" w:color="auto"/>
          </w:divBdr>
        </w:div>
        <w:div w:id="1834952027">
          <w:blockQuote w:val="1"/>
          <w:marLeft w:val="1900"/>
          <w:marRight w:val="1900"/>
          <w:marTop w:val="380"/>
          <w:marBottom w:val="3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h/utkin2/01.html" TargetMode="External"/><Relationship Id="rId13" Type="http://schemas.openxmlformats.org/officeDocument/2006/relationships/hyperlink" Target="http://militera.lib.ru/h/utkin2/01.html" TargetMode="External"/><Relationship Id="rId3" Type="http://schemas.openxmlformats.org/officeDocument/2006/relationships/webSettings" Target="webSettings.xml"/><Relationship Id="rId7" Type="http://schemas.openxmlformats.org/officeDocument/2006/relationships/hyperlink" Target="http://militera.lib.ru/h/utkin2/01.html" TargetMode="External"/><Relationship Id="rId12" Type="http://schemas.openxmlformats.org/officeDocument/2006/relationships/hyperlink" Target="http://militera.lib.ru/h/utkin2/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litera.lib.ru/h/utkin2/01.html" TargetMode="External"/><Relationship Id="rId11" Type="http://schemas.openxmlformats.org/officeDocument/2006/relationships/hyperlink" Target="http://militera.lib.ru/h/utkin2/01.html" TargetMode="External"/><Relationship Id="rId5" Type="http://schemas.openxmlformats.org/officeDocument/2006/relationships/hyperlink" Target="http://militera.lib.ru/h/utkin2/01.html" TargetMode="External"/><Relationship Id="rId15" Type="http://schemas.openxmlformats.org/officeDocument/2006/relationships/theme" Target="theme/theme1.xml"/><Relationship Id="rId10" Type="http://schemas.openxmlformats.org/officeDocument/2006/relationships/hyperlink" Target="http://militera.lib.ru/h/utkin2/01.html" TargetMode="External"/><Relationship Id="rId4" Type="http://schemas.openxmlformats.org/officeDocument/2006/relationships/hyperlink" Target="http://militera.lib.ru/h/utkin2/01.html" TargetMode="External"/><Relationship Id="rId9" Type="http://schemas.openxmlformats.org/officeDocument/2006/relationships/hyperlink" Target="http://militera.lib.ru/h/utkin2/0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Фридрих Гогенштауфен</dc:creator>
  <cp:keywords/>
  <dc:description/>
  <cp:lastModifiedBy>Фридрих Гогенштауфен</cp:lastModifiedBy>
  <cp:revision>1</cp:revision>
  <dcterms:created xsi:type="dcterms:W3CDTF">2017-01-08T00:33:00Z</dcterms:created>
  <dcterms:modified xsi:type="dcterms:W3CDTF">2017-01-08T00:42:00Z</dcterms:modified>
</cp:coreProperties>
</file>