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ГОУ Гимназия №1505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«Московская городская педагогическая гимназия-лаборатория»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0"/>
          <w:highlight w:val="white"/>
          <w:rtl w:val="0"/>
        </w:rPr>
        <w:t xml:space="preserve">Дипломная работа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highlight w:val="white"/>
          <w:rtl w:val="0"/>
        </w:rPr>
        <w:t xml:space="preserve">Измерение удельного импульса ракеты на водном топливе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0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0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0"/>
          <w:highlight w:val="white"/>
          <w:rtl w:val="0"/>
        </w:rPr>
        <w:t xml:space="preserve">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0"/>
          <w:highlight w:val="white"/>
          <w:rtl w:val="0"/>
        </w:rPr>
        <w:t xml:space="preserve">  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0"/>
          <w:highlight w:val="white"/>
          <w:rtl w:val="0"/>
        </w:rPr>
        <w:t xml:space="preserve">автор</w:t>
      </w:r>
      <w:r w:rsidRPr="00000000" w:rsidR="00000000" w:rsidDel="00000000">
        <w:rPr>
          <w:rFonts w:cs="Times New Roman" w:hAnsi="Times New Roman" w:eastAsia="Times New Roman" w:ascii="Times New Roman"/>
          <w:sz w:val="20"/>
          <w:highlight w:val="white"/>
          <w:rtl w:val="0"/>
        </w:rPr>
        <w:t xml:space="preserve">: ученик 10 класса «А»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0"/>
          <w:highlight w:val="white"/>
          <w:rtl w:val="0"/>
        </w:rPr>
        <w:t xml:space="preserve">Вакульчик Егор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0"/>
          <w:highlight w:val="white"/>
          <w:rtl w:val="0"/>
        </w:rPr>
        <w:t xml:space="preserve">Руководитель:Наумов А.Л.</w:t>
      </w:r>
      <w:r w:rsidRPr="00000000" w:rsidR="00000000" w:rsidDel="00000000">
        <w:rPr>
          <w:rFonts w:cs="Times New Roman" w:hAnsi="Times New Roman" w:eastAsia="Times New Roman" w:ascii="Times New Roman"/>
          <w:sz w:val="20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Содержание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Введение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Глава 1. Импульс. Закон Сохранения Импульса. Реактивное движение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Глава 2. Конструкция водной ракеты.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Выводы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Список Литературы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36"/>
          <w:highlight w:val="white"/>
          <w:rtl w:val="0"/>
        </w:rPr>
        <w:t xml:space="preserve">Список источников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1) Иностранные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"SPACE SHUTTLE: The History of Developing the National Space Transportation System", Dennis R.Jenkins, 1996;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Jeff Scott-Soviet Buran Space Shuttle-2005. [Электронный ресурс]  -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highlight w:val="white"/>
            <w:u w:val="single"/>
            <w:rtl w:val="0"/>
          </w:rPr>
          <w:t xml:space="preserve">http://www.aerospaceweb.org/question/spacecraft/q0153.shtml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(Дата обращения- 11.04.14)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Jim Wilson- Space Shuttle Solid Rocket Boosters-2006[Электронный Ресурс]-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highlight w:val="white"/>
            <w:u w:val="single"/>
            <w:rtl w:val="0"/>
          </w:rPr>
          <w:t xml:space="preserve">http://www.nasa.gov/returntoflight/system/system_SRB.html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(Дата обращения 11.04.14)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Tariq Malik-Shuttle to Carry Tools for Repair and Remote-Control Landing-2006[Электронный ресурс]-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highlight w:val="white"/>
            <w:u w:val="single"/>
            <w:rtl w:val="0"/>
          </w:rPr>
          <w:t xml:space="preserve">http://www.space.com/2560-shuttle-carry-tools-repair-remote-control-landing.html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(Дата Обращения 11.04.2014)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“Physics 1 for dummies”, Steven Holzner, PhD, Wiley Publishing, Inc-2011-384 c. 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120" w:line="360" w:before="80"/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“Physics-Principle and problems”, Zitzewitz, Elliot, Haase, McGrawHill, Chicago- 941 c.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2) Русские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120" w:line="360" w:before="80"/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Е.Е Цеплин-Краткий справочник по физике: учеб. пособие. – Уфа: Изд-во УГНТУ, 2009. – 65 с.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[1]-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"Мировая пилотируемая космонавтика: история, техника, люди", коллектив авторов под ред. Ю.М.Батурина, М.:РТСофт, 2005 - 752 стр.</w:t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360" w:before="8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nasa.gov/returntoflight/system/system_SRB.html" Type="http://schemas.openxmlformats.org/officeDocument/2006/relationships/hyperlink" TargetMode="External" Id="rId6"/><Relationship Target="http://www.aerospaceweb.org/question/spacecraft/q0153.shtml" Type="http://schemas.openxmlformats.org/officeDocument/2006/relationships/hyperlink" TargetMode="External" Id="rId5"/><Relationship Target="http://www.space.com/2560-shuttle-carry-tools-repair-remote-control-landing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