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wmf" ContentType="image/x-wmf"/>
  <Override PartName="/word/media/image8.wmf" ContentType="image/x-wmf"/>
  <Override PartName="/word/media/image11.jpeg" ContentType="image/jpeg"/>
  <Override PartName="/word/media/image12.jpeg" ContentType="image/jpeg"/>
  <Override PartName="/word/media/image10.wmf" ContentType="image/x-wmf"/>
  <Override PartName="/word/media/image9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TrebuchetMS" w:hAnsi="TrebuchetMS"/>
          <w:b/>
          <w:bCs/>
          <w:sz w:val="40"/>
          <w:szCs w:val="40"/>
        </w:rPr>
        <w:t>Глава 2. ПРИНЦИПЫ STEALTH ТЕХНОЛОГИИ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ab/>
      </w:r>
    </w:p>
    <w:p>
      <w:pPr>
        <w:pStyle w:val="style0"/>
        <w:spacing w:line="360" w:lineRule="auto"/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tealth технология — это техника создания малозаметных</w:t>
      </w:r>
    </w:p>
    <w:p>
      <w:pPr>
        <w:pStyle w:val="style0"/>
        <w:spacing w:line="360" w:lineRule="auto"/>
      </w:pPr>
      <w:r>
        <w:rPr>
          <w:sz w:val="28"/>
          <w:szCs w:val="28"/>
        </w:rPr>
        <w:t>объектов в условиях их наблюдения радиолокационными станциями,</w:t>
      </w:r>
    </w:p>
    <w:p>
      <w:pPr>
        <w:pStyle w:val="style0"/>
        <w:spacing w:line="360" w:lineRule="auto"/>
      </w:pPr>
      <w:r>
        <w:rPr>
          <w:sz w:val="28"/>
          <w:szCs w:val="28"/>
        </w:rPr>
        <w:t>инфракрасными и лазерными системами. Последние две системы при-</w:t>
      </w:r>
    </w:p>
    <w:p>
      <w:pPr>
        <w:pStyle w:val="style0"/>
        <w:spacing w:line="360" w:lineRule="auto"/>
      </w:pPr>
      <w:r>
        <w:rPr>
          <w:sz w:val="28"/>
          <w:szCs w:val="28"/>
        </w:rPr>
        <w:t>меняются, как правило, в дополнение к радиолокационным системам,</w:t>
      </w:r>
    </w:p>
    <w:p>
      <w:pPr>
        <w:pStyle w:val="style0"/>
        <w:spacing w:line="360" w:lineRule="auto"/>
      </w:pPr>
      <w:r>
        <w:rPr>
          <w:sz w:val="28"/>
          <w:szCs w:val="28"/>
        </w:rPr>
        <w:t>поэтому Stealth технология обычно рассматривается как техника созда-</w:t>
      </w:r>
    </w:p>
    <w:p>
      <w:pPr>
        <w:pStyle w:val="style0"/>
        <w:spacing w:line="360" w:lineRule="auto"/>
      </w:pPr>
      <w:r>
        <w:rPr>
          <w:sz w:val="28"/>
          <w:szCs w:val="28"/>
        </w:rPr>
        <w:t>ния малозаметных объектов в радиолокационном диапазоне paдиoвoлн.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этой главе будут приведены</w:t>
      </w:r>
      <w:r>
        <w:rPr>
          <w:sz w:val="28"/>
          <w:szCs w:val="28"/>
        </w:rPr>
        <w:t xml:space="preserve"> принципы создания малозаметных объектов от радаров,  инфракрасных и лазерных систем.</w:t>
      </w:r>
    </w:p>
    <w:p>
      <w:pPr>
        <w:pStyle w:val="style0"/>
        <w:spacing w:line="360" w:lineRule="auto"/>
      </w:pPr>
      <w:r>
        <w:rPr>
          <w:b/>
          <w:bCs/>
          <w:sz w:val="32"/>
          <w:szCs w:val="32"/>
        </w:rPr>
        <w:t>2.1. Принципы Stealth технологии в радиолокации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принципы создания малозаметных объектов:</w:t>
      </w:r>
    </w:p>
    <w:p>
      <w:pPr>
        <w:pStyle w:val="style0"/>
        <w:spacing w:line="360" w:lineRule="auto"/>
      </w:pPr>
      <w:r>
        <w:rPr>
          <w:rStyle w:val="style17"/>
          <w:sz w:val="28"/>
          <w:szCs w:val="28"/>
        </w:rPr>
        <w:tab/>
        <w:t>1-й принцип:</w:t>
      </w:r>
      <w:r>
        <w:rPr>
          <w:sz w:val="28"/>
          <w:szCs w:val="28"/>
        </w:rPr>
        <w:t xml:space="preserve"> «Изменение формы объекта не обеспечивает его ма</w:t>
      </w:r>
      <w:r>
        <w:rPr>
          <w:sz w:val="28"/>
          <w:szCs w:val="28"/>
        </w:rPr>
        <w:t>-</w:t>
      </w:r>
      <w:r>
        <w:rPr>
          <w:sz w:val="28"/>
          <w:szCs w:val="28"/>
        </w:rPr>
        <w:t>лозаметность во всей сфере углов наблюдения воздушных объектов, или в верхней полусфере для наземных и морских объектов».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Количественно заметность объектов в радиолокационном диапазоне волн оценивается величиной эффективной площади рассеяния (ЭПР), определяющей отражательную способность объекта в выбранном направлении. 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Обоснованием первого принципа служит теорема об интегральной эффективной площади рассеяния объекта. Согласно этой теоремы интегральная ЭПР, характеризующая отражательную способность тела во всей сфере углов наблюдения или в полусфере — для наземных и морских объектов, является величиной постоянной вне зависимости от их формы. Иначе говоря изменение формы объекта лишь перераспределяет в пространстве отражательную способность объекта, не изменяя его заметность, если таковая интересует с любых направлений наблюдения объекта.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rStyle w:val="style17"/>
          <w:sz w:val="28"/>
          <w:szCs w:val="28"/>
        </w:rPr>
        <w:tab/>
        <w:t>2-й принцип:</w:t>
      </w:r>
      <w:r>
        <w:rPr>
          <w:sz w:val="28"/>
          <w:szCs w:val="28"/>
        </w:rPr>
        <w:t xml:space="preserve"> «Уменьшение заметности объекта может быть осу</w:t>
        <w:softHyphen/>
      </w:r>
      <w:r>
        <w:rPr>
          <w:sz w:val="28"/>
          <w:szCs w:val="28"/>
        </w:rPr>
        <w:t xml:space="preserve">ществлена лишь в небольших секторах углов его наблюдения, которые в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 выбирают совпадающими с наиболее опасными для объекта углами наблюдения». 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На рис. 1.1 указаны наиболее опасные сектора углов самолета, танка и корабля. В первом случае полагается, что наблюдение самолета производится с земли, поэтому пространственный сектор содержит единицы градусов в вертикальной плоскости и десятки градусов в азимутальном плоскости.</w:t>
      </w:r>
    </w:p>
    <w:p>
      <w:pPr>
        <w:pStyle w:val="style0"/>
        <w:spacing w:line="360" w:lineRule="auto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120130" cy="238379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120130" cy="165481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120130" cy="141414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</w:pPr>
      <w:r>
        <w:rPr>
          <w:sz w:val="28"/>
          <w:szCs w:val="28"/>
        </w:rPr>
        <w:t>Пространственный сектор опасных углов объектов бронетанковой техники в среднем повторяет размеры предыдущего сектора с той лишь разницей, что углы в вертикальной плоскости оказываются положительными. Наиболее опасный сектор для кораблей содержит равно вероятные направления наблюдения в горизонтальной плоскости, поскольку он может обнаруживаться с любого курсового угла его наблюдения. В вертикальной плоскости опасными оказываются малые углы места как в силу больших расстояний до источника облучения (радиолокационной станции), так и в силу малых высот полета противокорабельных ракет.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rStyle w:val="style18"/>
          <w:sz w:val="28"/>
          <w:szCs w:val="28"/>
        </w:rPr>
        <w:tab/>
        <w:t>З-принцип:</w:t>
      </w:r>
      <w:r>
        <w:rPr>
          <w:sz w:val="28"/>
          <w:szCs w:val="28"/>
        </w:rPr>
        <w:t xml:space="preserve"> «Снижение отражений от поверхности объектов не до</w:t>
        <w:softHyphen/>
        <w:t xml:space="preserve">статочно для перевода их в разряд малозаметных, если они располагаются вблизи морской (земной) поверхности». В этом случае образуется мощный антипод, ответственный за эффекты переотражения между поверхностью объектов и морской (земной) поверхностью. Сигналы антипода и непосредственных отражений от поверхности объекта не различимы обычными радиолокационными станциями при скользящих углах наблюдения. Поэтому те и другие воспринимаются как единый отраженный от объекта сигнал. В общем случае меры снижения отражений от поверхности самих объектов не обязательно снижают интенсивность антиподов, что и определяет из значимость в проблеме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технологии. Интенсивность последних при скользящих углах наблюдения сопоставима с интенсивностью сигналов, отраженных непосредственно от поверхности самого объекта. Визуальное представление об антиподе дает рис. 1.2, где показан оптический антипод модели корабля.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haracter">
              <wp:posOffset>0</wp:posOffset>
            </wp:positionH>
            <wp:positionV relativeFrom="line">
              <wp:posOffset>45720</wp:posOffset>
            </wp:positionV>
            <wp:extent cx="6120130" cy="356552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</w:pPr>
      <w:r>
        <w:rPr>
          <w:sz w:val="28"/>
          <w:szCs w:val="28"/>
        </w:rPr>
        <w:t>Рис. 1.2. Оптический антипод модели корабля</w:t>
      </w:r>
    </w:p>
    <w:p>
      <w:pPr>
        <w:pStyle w:val="style0"/>
        <w:spacing w:line="360" w:lineRule="auto"/>
      </w:pPr>
      <w:r>
        <w:rPr>
          <w:b/>
          <w:bCs/>
          <w:sz w:val="32"/>
          <w:szCs w:val="32"/>
        </w:rPr>
        <w:t>2.2. Принципы Stealth технологии в инфракрасном и лазерном диапазонах волн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Инфракрасные системы реагируют на температурные кон-</w:t>
      </w:r>
    </w:p>
    <w:p>
      <w:pPr>
        <w:pStyle w:val="style0"/>
        <w:spacing w:line="360" w:lineRule="auto"/>
      </w:pPr>
      <w:r>
        <w:rPr>
          <w:sz w:val="28"/>
          <w:szCs w:val="28"/>
        </w:rPr>
        <w:t>трасты объекта с окружающей средой. Наибольший температурный</w:t>
      </w:r>
    </w:p>
    <w:p>
      <w:pPr>
        <w:pStyle w:val="style0"/>
        <w:spacing w:line="360" w:lineRule="auto"/>
      </w:pPr>
      <w:r>
        <w:rPr>
          <w:sz w:val="28"/>
          <w:szCs w:val="28"/>
        </w:rPr>
        <w:t>контраст у самолета наблюдается со стороны сопел двигателя. Поэтому</w:t>
      </w:r>
    </w:p>
    <w:p>
      <w:pPr>
        <w:pStyle w:val="style0"/>
        <w:spacing w:line="360" w:lineRule="auto"/>
      </w:pPr>
      <w:r>
        <w:rPr>
          <w:sz w:val="28"/>
          <w:szCs w:val="28"/>
        </w:rPr>
        <w:t>наиболее опасным сектором является пространственный сектор со сто-</w:t>
      </w:r>
    </w:p>
    <w:p>
      <w:pPr>
        <w:pStyle w:val="style0"/>
        <w:spacing w:line="360" w:lineRule="auto"/>
      </w:pPr>
      <w:r>
        <w:rPr>
          <w:sz w:val="28"/>
          <w:szCs w:val="28"/>
        </w:rPr>
        <w:t>роны его хвостового оперения. Как и в случае радиолокационного об-</w:t>
      </w:r>
    </w:p>
    <w:p>
      <w:pPr>
        <w:pStyle w:val="style0"/>
        <w:spacing w:line="360" w:lineRule="auto"/>
      </w:pPr>
      <w:r>
        <w:rPr>
          <w:sz w:val="28"/>
          <w:szCs w:val="28"/>
        </w:rPr>
        <w:t>наружения опасный сектор оказывается сравнительно узким в вертикаль-</w:t>
      </w:r>
    </w:p>
    <w:p>
      <w:pPr>
        <w:pStyle w:val="style0"/>
        <w:spacing w:line="360" w:lineRule="auto"/>
      </w:pPr>
      <w:r>
        <w:rPr>
          <w:sz w:val="28"/>
          <w:szCs w:val="28"/>
        </w:rPr>
        <w:t>ной плоскости и сравнительно большим в горизонтальной плоскости.</w:t>
      </w:r>
    </w:p>
    <w:p>
      <w:pPr>
        <w:pStyle w:val="style0"/>
        <w:spacing w:line="360" w:lineRule="auto"/>
      </w:pPr>
      <w:r>
        <w:rPr>
          <w:sz w:val="28"/>
          <w:szCs w:val="28"/>
        </w:rPr>
        <w:t>Лазерные системы локации самолетов могут располагаться на спут-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никах, самолетах и наземных объектах. </w:t>
      </w:r>
      <w:r>
        <w:rPr>
          <w:sz w:val="28"/>
          <w:szCs w:val="28"/>
        </w:rPr>
        <w:t>Поэтому невозможно</w:t>
      </w:r>
      <w:r>
        <w:rPr>
          <w:sz w:val="28"/>
          <w:szCs w:val="28"/>
        </w:rPr>
        <w:t xml:space="preserve"> указать опасный сектор углов, что в данном случае не имеет существенного значения поскольку для защиты объектов от лазерных систем используется специальная краска, которой можно окрашивать весь объект.</w:t>
      </w:r>
    </w:p>
    <w:p>
      <w:pPr>
        <w:pStyle w:val="style0"/>
        <w:spacing w:line="360" w:lineRule="auto"/>
      </w:pPr>
      <w:r>
        <w:rPr>
          <w:b/>
          <w:bCs/>
          <w:sz w:val="32"/>
          <w:szCs w:val="32"/>
        </w:rPr>
        <w:t>2.3. Принципы разделения Stealth технологии на обычную и глубокую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Анализ различных подходов в практике создания малозаметных объектов различного назначения показал целесообразность разделения проблемы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 на обычную и глубокую. В каждой из них используется свой набор методов анализа и расчета, для каждой из них определены различные предельные уровни снижения радиолокационной заметности. Такое разделение согласуется как с хронологией создания малозаметных объектов, так и с физическими основами каждой из них. Возникшая еще в 60-х гг. обычная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технология содержит набор способов и средств по снижению радиолокационной заметности сильно отражающих конструкций объектов и его функциональных элементов. Типичными сильно отражающими конструкциями самолета  являются воздухозаборники </w:t>
      </w:r>
      <w:r>
        <w:rPr>
          <w:sz w:val="28"/>
          <w:szCs w:val="28"/>
        </w:rPr>
        <w:t>двигателей (12)</w:t>
      </w:r>
      <w:r>
        <w:rPr>
          <w:sz w:val="28"/>
          <w:szCs w:val="28"/>
        </w:rPr>
        <w:t xml:space="preserve">, носовая радиолокационная антенна </w:t>
      </w:r>
      <w:r>
        <w:rPr>
          <w:sz w:val="28"/>
          <w:szCs w:val="28"/>
        </w:rPr>
        <w:t>(1)</w:t>
      </w:r>
      <w:r>
        <w:rPr>
          <w:sz w:val="28"/>
          <w:szCs w:val="28"/>
        </w:rPr>
        <w:t xml:space="preserve">, передние кромки крыльев </w:t>
      </w:r>
      <w:r>
        <w:rPr>
          <w:sz w:val="28"/>
          <w:szCs w:val="28"/>
        </w:rPr>
        <w:t>(10)</w:t>
      </w:r>
      <w:r>
        <w:rPr>
          <w:sz w:val="28"/>
          <w:szCs w:val="28"/>
        </w:rPr>
        <w:t xml:space="preserve">, кабина пилотов </w:t>
      </w:r>
      <w:r>
        <w:rPr>
          <w:sz w:val="28"/>
          <w:szCs w:val="28"/>
        </w:rPr>
        <w:t>(3) ,</w:t>
      </w:r>
      <w:r>
        <w:rPr>
          <w:sz w:val="28"/>
          <w:szCs w:val="28"/>
        </w:rPr>
        <w:t xml:space="preserve"> хвостовое оперение </w:t>
      </w:r>
      <w:r>
        <w:rPr>
          <w:sz w:val="28"/>
          <w:szCs w:val="28"/>
        </w:rPr>
        <w:t>(8)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сопла двигателей (7)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</w:rPr>
        <w:t>рис. 1.3</w:t>
      </w:r>
      <w:r>
        <w:rPr>
          <w:sz w:val="28"/>
          <w:szCs w:val="28"/>
        </w:rPr>
        <w:t>).</w:t>
      </w:r>
    </w:p>
    <w:p>
      <w:pPr>
        <w:pStyle w:val="style36"/>
        <w:shd w:fill="FFFFFF" w:val="clear"/>
        <w:spacing w:line="360" w:lineRule="auto"/>
        <w:ind w:firstLine="1140" w:left="20" w:right="20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  <w:drawing>
          <wp:inline distB="0" distL="0" distR="0" distT="0">
            <wp:extent cx="3674745" cy="205295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  <w:jc w:val="center"/>
      </w:pPr>
      <w:r>
        <w:rPr/>
        <w:drawing>
          <wp:inline distB="0" distL="0" distR="0" distT="0">
            <wp:extent cx="3888105" cy="234569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8"/>
        <w:shd w:fill="FFFFFF" w:val="clear"/>
        <w:spacing w:line="360" w:lineRule="auto"/>
        <w:jc w:val="center"/>
      </w:pPr>
      <w:r>
        <w:rPr>
          <w:rStyle w:val="style27"/>
          <w:rFonts w:ascii="Times New Roman" w:cs="Times New Roman" w:hAnsi="Times New Roman"/>
          <w:sz w:val="24"/>
          <w:szCs w:val="24"/>
        </w:rPr>
        <w:t>Рис. 1.3.</w:t>
      </w:r>
      <w:r>
        <w:rPr>
          <w:rFonts w:ascii="Times New Roman" w:cs="Times New Roman" w:hAnsi="Times New Roman"/>
          <w:sz w:val="24"/>
          <w:szCs w:val="24"/>
        </w:rPr>
        <w:t xml:space="preserve"> Сильно и слабо отражающие элементы самолета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ЭПР воздухозаборников, к примеру, может быть выполнено путем изгиба его канала, разрушающего уголковый отражатель между его стенками и плоскостью лопаток компрессора. Снижение ЭПР носовой антенн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достигается путем применения специального обтекателя.</w:t>
      </w:r>
    </w:p>
    <w:p>
      <w:pPr>
        <w:pStyle w:val="style0"/>
        <w:spacing w:line="360" w:lineRule="auto"/>
        <w:ind w:hanging="0" w:left="-156" w:right="0"/>
      </w:pPr>
      <w:r>
        <w:rPr>
          <w:sz w:val="28"/>
          <w:szCs w:val="28"/>
        </w:rPr>
        <w:tab/>
        <w:tab/>
        <w:t xml:space="preserve">Таким образом, в основу обычной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 в самолетостроении </w:t>
      </w:r>
      <w:r>
        <w:rPr>
          <w:sz w:val="28"/>
          <w:szCs w:val="28"/>
        </w:rPr>
        <w:t>поожен подход по-элементной защиты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Приведем</w:t>
      </w:r>
      <w:r>
        <w:rPr>
          <w:sz w:val="28"/>
          <w:szCs w:val="28"/>
        </w:rPr>
        <w:t xml:space="preserve"> ее основные  принципы.</w:t>
      </w:r>
    </w:p>
    <w:p>
      <w:pPr>
        <w:pStyle w:val="style36"/>
        <w:numPr>
          <w:ilvl w:val="0"/>
          <w:numId w:val="1"/>
        </w:numPr>
        <w:shd w:fill="FFFFFF" w:val="clear"/>
        <w:tabs>
          <w:tab w:leader="none" w:pos="702" w:val="left"/>
        </w:tabs>
        <w:spacing w:line="360" w:lineRule="auto"/>
      </w:pPr>
      <w:r>
        <w:rPr>
          <w:sz w:val="28"/>
          <w:szCs w:val="28"/>
        </w:rPr>
        <w:t>Радиолокационная защита элементов самолета должна производиться только в наиболее опасном для его обнаружении секторе, углы которого указаны на рис. 1.1, и охватывают большой сектор носовых углов в азимутальной плоскости (+30 или ±45°). Сектор углов в вертикальной плоскости обычно составляет несколько градусов (5 редко 10) в нижней полусфере углов наблюдения.</w:t>
      </w:r>
    </w:p>
    <w:p>
      <w:pPr>
        <w:pStyle w:val="style36"/>
        <w:numPr>
          <w:ilvl w:val="0"/>
          <w:numId w:val="1"/>
        </w:numPr>
        <w:shd w:fill="FFFFFF" w:val="clear"/>
        <w:tabs>
          <w:tab w:leader="none" w:pos="726" w:val="left"/>
        </w:tabs>
        <w:spacing w:line="360" w:lineRule="auto"/>
      </w:pPr>
      <w:r>
        <w:rPr>
          <w:sz w:val="28"/>
          <w:szCs w:val="28"/>
        </w:rPr>
        <w:t>Снижение ЭПР сильно отражающих элементов должна осуществляться только до уровня общего «ареала» самолета; при этом должен соблюдаться порядок ранжирования элементов по их вкладу в суммарный отраженный сигнал. Другими словами, глубина защиты каждого элемента должна быть пропорциональна уровню его ЭПР.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Следует избегать постановки радиопоглощающих покрытий на слабо отражающие элементы, поскольку это не только не эффективно, но даже может привести к росту ЭПР в определенном секторе углов наблюдения.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ехнические возможности методов обычной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 (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>) ограничиваются уровнем снижения ЭПР объектов в среднем на порядок.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Для достижение более высоких (в сотни раз) уровней снижения ЭПР необходимо использовать методы глубокой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</w:rPr>
        <w:t xml:space="preserve"> технологии. Последняя является следующим шагом развития методов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, после того как ЭПР сильноотражающих конструкций и функциональных элементов объектов снижена до уровня слабоотражающих.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альнейшее снижение ЭПР объектов требует коренных изменений его конструкции, что и составляет предмет глубокой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. Например, самолет В-2 </w:t>
      </w:r>
      <w:r>
        <w:rPr>
          <w:sz w:val="28"/>
          <w:szCs w:val="28"/>
        </w:rPr>
        <w:t>(рис. 1.4)</w:t>
      </w:r>
      <w:r>
        <w:rPr>
          <w:sz w:val="28"/>
          <w:szCs w:val="28"/>
        </w:rPr>
        <w:t xml:space="preserve">, построенный по законам глубокой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>, выполнен в форме «летающего крыла», у которого воздухозаборники двигателей расположены не под, а на крыле. Благодаря этому удается избежать отражений от воздухозаборников в опасном секторе наблюдения с земли, поскольку они в этом случае экранируются плоскостью крыла. Точно так же решена задача по снижению ЭПР носовой радиолокаци</w:t>
        <w:softHyphen/>
        <w:t>онной антенны и кабины пилотов. А неустранимые отражения от передней кромки крыла снижены за счет придания ему стреловидной формы и размещения на нем радиопоглощающих покрытий.</w:t>
      </w:r>
    </w:p>
    <w:p>
      <w:pPr>
        <w:pStyle w:val="style0"/>
        <w:spacing w:line="360" w:lineRule="auto"/>
      </w:pPr>
      <w:r>
        <w:rPr>
          <w:sz w:val="28"/>
          <w:szCs w:val="28"/>
        </w:rPr>
        <w:drawing>
          <wp:inline distB="0" distL="0" distR="0" distT="0">
            <wp:extent cx="4876800" cy="334518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Рис. 1.4. Самолет </w:t>
      </w:r>
      <w:r>
        <w:rPr>
          <w:sz w:val="28"/>
          <w:szCs w:val="28"/>
          <w:lang w:val="en-US"/>
        </w:rPr>
        <w:t>B-</w:t>
      </w:r>
      <w:r>
        <w:rPr>
          <w:sz w:val="28"/>
          <w:szCs w:val="28"/>
          <w:lang w:val="ru-RU"/>
        </w:rPr>
        <w:t>2 «летающее крыло».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се перечисленные средства глубокой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наиболее эффективны в секторе углов наблюдения с земли. </w:t>
      </w:r>
      <w:r>
        <w:rPr>
          <w:sz w:val="28"/>
          <w:szCs w:val="28"/>
        </w:rPr>
        <w:t>Это не является</w:t>
      </w:r>
      <w:r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>ком</w:t>
      </w:r>
      <w:r>
        <w:rPr>
          <w:sz w:val="28"/>
          <w:szCs w:val="28"/>
        </w:rPr>
        <w:t xml:space="preserve">. Ведь в самом общем случае выбор малоотражающих форм всегда увязан с опасным сектором углов наблюдения. Как правило, это самый опасный сектор углов наблюдения, из которого отражения переводятся в другие сектора. Поэтому почти всегда на малозаметном объекте удается указать сектора глубокой, обычной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и сектора с традиционным уровнем ЭПР для объектов этого класса. Применительно к рассматриваемому самолету В-2 можно утверждать, что это объект глубокой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при наблюдении его с земли, объект обычной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— при наблюдении его под углами из верхней полусферы и объект с традиционной ЭПР с направлений, близких к перпендикуляру к плоскости крыла. Аналогичное разделение имеет место для иных объектов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. Например корабль типа </w:t>
      </w:r>
      <w:r>
        <w:rPr>
          <w:sz w:val="28"/>
          <w:szCs w:val="28"/>
          <w:lang w:val="en-US"/>
        </w:rPr>
        <w:t>Arleigh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Burke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1.5) </w:t>
      </w:r>
      <w:r>
        <w:rPr>
          <w:sz w:val="28"/>
          <w:szCs w:val="28"/>
        </w:rPr>
        <w:t xml:space="preserve">является объектом глубокой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технологии при его наблюдении под скользящими углами к горизонту. При других углах наблюдения он может быть отнесен к объектам обычной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, а в направлениях перпендикулярных к наклонным плоскостям надстроек — к объектам с традиционной ЭПР для кораблей этого </w:t>
      </w:r>
      <w:r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B="0" distL="0" distR="0" distT="0">
            <wp:extent cx="6312535" cy="4285615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Рис. 1.5. </w:t>
      </w:r>
      <w:r>
        <w:rPr>
          <w:sz w:val="28"/>
          <w:szCs w:val="28"/>
        </w:rPr>
        <w:t xml:space="preserve">Эсминец  </w:t>
      </w:r>
      <w:r>
        <w:rPr>
          <w:sz w:val="28"/>
          <w:szCs w:val="28"/>
          <w:lang w:val="en-US"/>
        </w:rPr>
        <w:t>Arleigh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Burke.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Как уже было сказано, </w:t>
      </w:r>
      <w:r>
        <w:rPr>
          <w:sz w:val="28"/>
          <w:szCs w:val="28"/>
        </w:rPr>
        <w:t xml:space="preserve"> снижения ЭПР кораблей имеет еще одну особенность, связанную с тем, что здесь приходится снижать не только отражения от поверхностей самого корабля, но и от его антипода — переотражений между поверхностью корабля и морем. Радиолокационный антипод корабля имеет более сложную структуру, зависящую от дальности до него, длины волны поля и ряда других факторов.</w:t>
      </w:r>
    </w:p>
    <w:p>
      <w:pPr>
        <w:pStyle w:val="style0"/>
        <w:spacing w:line="360" w:lineRule="auto"/>
      </w:pPr>
      <w:r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sz w:val="24"/>
          <w:szCs w:val="24"/>
        </w:rPr>
        <w:t xml:space="preserve">Алексеев А.Г., Штагер Е.А., Козырев С.А. «Физические основы технологии </w:t>
      </w:r>
      <w:r>
        <w:rPr>
          <w:rFonts w:cs="Times New Roman"/>
          <w:sz w:val="24"/>
          <w:szCs w:val="24"/>
          <w:lang w:val="en-US"/>
        </w:rPr>
        <w:t>STEALTH</w:t>
      </w:r>
      <w:r>
        <w:rPr>
          <w:rFonts w:cs="Times New Roman"/>
          <w:sz w:val="24"/>
          <w:szCs w:val="24"/>
          <w:lang w:val="ru-RU"/>
        </w:rPr>
        <w:t>», стр.  19</w:t>
      </w:r>
    </w:p>
    <w:p>
      <w:pPr>
        <w:pStyle w:val="style38"/>
        <w:shd w:fill="FFFFFF" w:val="clear"/>
        <w:spacing w:line="360" w:lineRule="auto"/>
        <w:jc w:val="left"/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cs="Times New Roman" w:hAnsi="Times New Roman"/>
          <w:sz w:val="24"/>
          <w:szCs w:val="24"/>
          <w:lang w:val="ru-RU"/>
        </w:rPr>
        <w:t>Там же, стр. 20-21</w:t>
      </w:r>
    </w:p>
    <w:p>
      <w:pPr>
        <w:pStyle w:val="style38"/>
        <w:shd w:fill="FFFFFF" w:val="clear"/>
        <w:spacing w:line="360" w:lineRule="auto"/>
        <w:jc w:val="left"/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cs="Times New Roman" w:hAnsi="Times New Roman"/>
          <w:sz w:val="24"/>
          <w:szCs w:val="24"/>
          <w:lang w:val="ru-RU"/>
        </w:rPr>
        <w:t>Там же, стр. 21-22</w:t>
      </w:r>
    </w:p>
    <w:p>
      <w:pPr>
        <w:pStyle w:val="style38"/>
        <w:shd w:fill="FFFFFF" w:val="clear"/>
        <w:spacing w:line="360" w:lineRule="auto"/>
        <w:jc w:val="left"/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8. </w:t>
      </w:r>
      <w:r>
        <w:rPr>
          <w:rFonts w:ascii="Times New Roman" w:cs="Times New Roman" w:hAnsi="Times New Roman"/>
          <w:sz w:val="24"/>
          <w:szCs w:val="24"/>
          <w:lang w:val="ru-RU"/>
        </w:rPr>
        <w:t>Там же, стр. 78</w:t>
      </w:r>
    </w:p>
    <w:p>
      <w:pPr>
        <w:pStyle w:val="style38"/>
        <w:shd w:fill="FFFFFF" w:val="clear"/>
        <w:spacing w:line="360" w:lineRule="auto"/>
        <w:jc w:val="center"/>
      </w:pPr>
      <w:r>
        <w:rPr/>
      </w:r>
    </w:p>
    <w:p>
      <w:pPr>
        <w:pStyle w:val="style38"/>
        <w:shd w:fill="FFFFFF" w:val="clear"/>
        <w:spacing w:line="360" w:lineRule="auto"/>
        <w:jc w:val="center"/>
      </w:pPr>
      <w:r>
        <w:rPr/>
      </w:r>
    </w:p>
    <w:p>
      <w:pPr>
        <w:pStyle w:val="style0"/>
        <w:spacing w:line="360" w:lineRule="auto"/>
      </w:pPr>
      <w:r>
        <w:rPr/>
        <w:t xml:space="preserve">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38"/>
        <w:shd w:fill="FFFFFF" w:val="clear"/>
        <w:spacing w:line="360" w:lineRule="auto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Franklin Gothic Medium">
    <w:charset w:val="cc"/>
    <w:family w:val="roman"/>
    <w:pitch w:val="variable"/>
  </w:font>
  <w:font w:name="Arial">
    <w:charset w:val="cc"/>
    <w:family w:val="swiss"/>
    <w:pitch w:val="variable"/>
  </w:font>
  <w:font w:name="TrebuchetMS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80" w:val="num"/>
        </w:tabs>
        <w:ind w:hanging="360" w:left="380"/>
      </w:pPr>
      <w:rPr/>
    </w:lvl>
    <w:lvl w:ilvl="1">
      <w:start w:val="1"/>
      <w:numFmt w:val="decimal"/>
      <w:lvlText w:val="%2."/>
      <w:lvlJc w:val="left"/>
      <w:pPr>
        <w:tabs>
          <w:tab w:pos="740" w:val="num"/>
        </w:tabs>
        <w:ind w:hanging="360" w:left="740"/>
      </w:pPr>
      <w:rPr/>
    </w:lvl>
    <w:lvl w:ilvl="2">
      <w:start w:val="1"/>
      <w:numFmt w:val="decimal"/>
      <w:lvlText w:val="%3."/>
      <w:lvlJc w:val="left"/>
      <w:pPr>
        <w:tabs>
          <w:tab w:pos="1100" w:val="num"/>
        </w:tabs>
        <w:ind w:hanging="360" w:left="1100"/>
      </w:pPr>
      <w:rPr/>
    </w:lvl>
    <w:lvl w:ilvl="3">
      <w:start w:val="1"/>
      <w:numFmt w:val="decimal"/>
      <w:lvlText w:val="%4."/>
      <w:lvlJc w:val="left"/>
      <w:pPr>
        <w:tabs>
          <w:tab w:pos="1460" w:val="num"/>
        </w:tabs>
        <w:ind w:hanging="360" w:left="1460"/>
      </w:pPr>
      <w:rPr/>
    </w:lvl>
    <w:lvl w:ilvl="4">
      <w:start w:val="1"/>
      <w:numFmt w:val="decimal"/>
      <w:lvlText w:val="%5."/>
      <w:lvlJc w:val="left"/>
      <w:pPr>
        <w:tabs>
          <w:tab w:pos="1820" w:val="num"/>
        </w:tabs>
        <w:ind w:hanging="360" w:left="1820"/>
      </w:pPr>
      <w:rPr/>
    </w:lvl>
    <w:lvl w:ilvl="5">
      <w:start w:val="1"/>
      <w:numFmt w:val="decimal"/>
      <w:lvlText w:val="%6."/>
      <w:lvlJc w:val="left"/>
      <w:pPr>
        <w:tabs>
          <w:tab w:pos="2180" w:val="num"/>
        </w:tabs>
        <w:ind w:hanging="360" w:left="2180"/>
      </w:pPr>
      <w:rPr/>
    </w:lvl>
    <w:lvl w:ilvl="6">
      <w:start w:val="1"/>
      <w:numFmt w:val="decimal"/>
      <w:lvlText w:val="%7."/>
      <w:lvlJc w:val="left"/>
      <w:pPr>
        <w:tabs>
          <w:tab w:pos="2540" w:val="num"/>
        </w:tabs>
        <w:ind w:hanging="360" w:left="2540"/>
      </w:pPr>
      <w:rPr/>
    </w:lvl>
    <w:lvl w:ilvl="7">
      <w:start w:val="1"/>
      <w:numFmt w:val="decimal"/>
      <w:lvlText w:val="%8."/>
      <w:lvlJc w:val="left"/>
      <w:pPr>
        <w:tabs>
          <w:tab w:pos="2900" w:val="num"/>
        </w:tabs>
        <w:ind w:hanging="360" w:left="2900"/>
      </w:pPr>
      <w:rPr/>
    </w:lvl>
    <w:lvl w:ilvl="8">
      <w:start w:val="1"/>
      <w:numFmt w:val="decimal"/>
      <w:lvlText w:val="%9."/>
      <w:lvlJc w:val="left"/>
      <w:pPr>
        <w:tabs>
          <w:tab w:pos="3260" w:val="num"/>
        </w:tabs>
        <w:ind w:hanging="360" w:left="32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false"/>
      <w:autoSpaceDE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30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30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30"/>
    <w:next w:val="style3"/>
    <w:pPr/>
    <w:rPr>
      <w:b/>
      <w:b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Основной текст_"/>
    <w:basedOn w:val="style15"/>
    <w:next w:val="style16"/>
    <w:rPr>
      <w:rFonts w:ascii="Times New Roman" w:cs="Times New Roman" w:hAnsi="Times New Roman"/>
      <w:sz w:val="20"/>
      <w:szCs w:val="20"/>
      <w:shd w:fill="FFFFFF" w:val="clear"/>
    </w:rPr>
  </w:style>
  <w:style w:styleId="style17" w:type="character">
    <w:name w:val="Основной текст + 9 pt"/>
    <w:basedOn w:val="style16"/>
    <w:next w:val="style17"/>
    <w:rPr>
      <w:b/>
      <w:bCs/>
      <w:spacing w:val="0"/>
      <w:sz w:val="18"/>
      <w:szCs w:val="18"/>
    </w:rPr>
  </w:style>
  <w:style w:styleId="style18" w:type="character">
    <w:name w:val="Основной текст + Trebuchet MS"/>
    <w:basedOn w:val="style16"/>
    <w:next w:val="style18"/>
    <w:rPr>
      <w:rFonts w:ascii="Trebuchet MS" w:cs="Trebuchet MS" w:eastAsia="Times New Roman" w:hAnsi="Trebuchet MS"/>
      <w:b/>
      <w:bCs/>
      <w:spacing w:val="0"/>
      <w:sz w:val="16"/>
      <w:szCs w:val="16"/>
    </w:rPr>
  </w:style>
  <w:style w:styleId="style19" w:type="character">
    <w:name w:val="WW8Num8z0"/>
    <w:next w:val="style19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20" w:type="character">
    <w:name w:val="WW8Num8z1"/>
    <w:next w:val="style20"/>
    <w:rPr>
      <w:rFonts w:cs="Times New Roman"/>
    </w:rPr>
  </w:style>
  <w:style w:styleId="style21" w:type="character">
    <w:name w:val="Заголовок №6 (5)_"/>
    <w:basedOn w:val="style15"/>
    <w:next w:val="style21"/>
    <w:rPr>
      <w:rFonts w:ascii="Franklin Gothic Medium" w:cs="Franklin Gothic Medium" w:eastAsia="Times New Roman" w:hAnsi="Franklin Gothic Medium"/>
      <w:spacing w:val="0"/>
      <w:sz w:val="22"/>
      <w:szCs w:val="22"/>
    </w:rPr>
  </w:style>
  <w:style w:styleId="style22" w:type="character">
    <w:name w:val="Заголовок №6 (5)"/>
    <w:basedOn w:val="style21"/>
    <w:next w:val="style22"/>
    <w:rPr/>
  </w:style>
  <w:style w:styleId="style23" w:type="character">
    <w:name w:val="WW8Num6z0"/>
    <w:next w:val="style2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24" w:type="character">
    <w:name w:val="WW8Num6z1"/>
    <w:next w:val="style24"/>
    <w:rPr>
      <w:rFonts w:cs="Times New Roman"/>
    </w:rPr>
  </w:style>
  <w:style w:styleId="style25" w:type="character">
    <w:name w:val="Основной текст + Курсив"/>
    <w:basedOn w:val="style16"/>
    <w:next w:val="style25"/>
    <w:rPr>
      <w:i/>
      <w:iCs/>
      <w:spacing w:val="20"/>
    </w:rPr>
  </w:style>
  <w:style w:styleId="style26" w:type="character">
    <w:name w:val="Подпись к картинке_"/>
    <w:basedOn w:val="style15"/>
    <w:next w:val="style26"/>
    <w:rPr>
      <w:rFonts w:ascii="Trebuchet MS" w:cs="Trebuchet MS" w:eastAsia="Times New Roman" w:hAnsi="Trebuchet MS"/>
      <w:sz w:val="16"/>
      <w:szCs w:val="16"/>
      <w:shd w:fill="FFFFFF" w:val="clear"/>
    </w:rPr>
  </w:style>
  <w:style w:styleId="style27" w:type="character">
    <w:name w:val="Подпись к картинке + Полужирный"/>
    <w:basedOn w:val="style26"/>
    <w:next w:val="style27"/>
    <w:rPr>
      <w:b/>
      <w:bCs/>
    </w:rPr>
  </w:style>
  <w:style w:styleId="style28" w:type="character">
    <w:name w:val="ListLabel 1"/>
    <w:next w:val="style28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29" w:type="character">
    <w:name w:val="Символ нумерации"/>
    <w:next w:val="style29"/>
    <w:rPr/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Содержимое врезки"/>
    <w:basedOn w:val="style31"/>
    <w:next w:val="style35"/>
    <w:pPr/>
    <w:rPr/>
  </w:style>
  <w:style w:styleId="style36" w:type="paragraph">
    <w:name w:val="Основной текст10"/>
    <w:basedOn w:val="style0"/>
    <w:next w:val="style36"/>
    <w:pPr>
      <w:shd w:fill="FFFFFF" w:val="clear"/>
      <w:spacing w:after="0" w:before="0" w:line="221" w:lineRule="exact"/>
      <w:ind w:hanging="340" w:left="0" w:right="0"/>
      <w:contextualSpacing w:val="false"/>
      <w:jc w:val="both"/>
    </w:pPr>
    <w:rPr>
      <w:rFonts w:ascii="Times New Roman" w:cs="Times New Roman" w:eastAsia="Calibri" w:hAnsi="Times New Roman"/>
      <w:sz w:val="20"/>
      <w:szCs w:val="20"/>
    </w:rPr>
  </w:style>
  <w:style w:styleId="style37" w:type="paragraph">
    <w:name w:val="Основной текст (6)"/>
    <w:basedOn w:val="style0"/>
    <w:next w:val="style37"/>
    <w:pPr>
      <w:shd w:fill="FFFFFF" w:val="clear"/>
      <w:spacing w:after="180" w:before="180" w:line="230" w:lineRule="exact"/>
      <w:ind w:hanging="440" w:left="0" w:right="0"/>
      <w:contextualSpacing w:val="false"/>
    </w:pPr>
    <w:rPr>
      <w:rFonts w:ascii="Trebuchet MS" w:cs="Trebuchet MS" w:hAnsi="Trebuchet MS"/>
      <w:sz w:val="20"/>
      <w:szCs w:val="20"/>
    </w:rPr>
  </w:style>
  <w:style w:styleId="style38" w:type="paragraph">
    <w:name w:val="Подпись к картинке"/>
    <w:basedOn w:val="style0"/>
    <w:next w:val="style38"/>
    <w:pPr>
      <w:shd w:fill="FFFFFF" w:val="clear"/>
      <w:spacing w:after="0" w:before="0" w:line="197" w:lineRule="exact"/>
      <w:contextualSpacing w:val="false"/>
    </w:pPr>
    <w:rPr>
      <w:rFonts w:ascii="Trebuchet MS" w:cs="Trebuchet MS" w:hAnsi="Trebuchet MS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wmf"/><Relationship Id="rId3" Type="http://schemas.openxmlformats.org/officeDocument/2006/relationships/image" Target="media/image8.wmf"/><Relationship Id="rId4" Type="http://schemas.openxmlformats.org/officeDocument/2006/relationships/image" Target="media/image9.wmf"/><Relationship Id="rId5" Type="http://schemas.openxmlformats.org/officeDocument/2006/relationships/image" Target="media/image10.wmf"/><Relationship Id="rId6" Type="http://schemas.openxmlformats.org/officeDocument/2006/relationships/image" Target="media/image11.jpeg"/><Relationship Id="rId7" Type="http://schemas.openxmlformats.org/officeDocument/2006/relationships/image" Target="media/image12.jpeg"/><Relationship Id="rId8" Type="http://schemas.openxmlformats.org/officeDocument/2006/relationships/image" Target="http://img15.nnm.me/b/4/7/8/e/5e652daa8a8698d1edf936f2cf8.jpg" TargetMode="External"/><Relationship Id="rId9" Type="http://schemas.openxmlformats.org/officeDocument/2006/relationships/image" Target="http://www.military-today.com/navy/arleigh_burke_class_l2.jpg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2015-02-04T17:50:40.10Z</dcterms:created>
  <dcterms:modified xsi:type="dcterms:W3CDTF">2015-03-30T21:08:37.68Z</dcterms:modified>
  <cp:revision>4</cp:revision>
</cp:coreProperties>
</file>