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Департамент образования города Москвы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Государственное бюджетное общеобразовательное учреждение города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Москвы «Школа №1505 «Преображенская»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Персонализированная медицина: текущее состояние и перспективы развития.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Реферат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ВЫПОЛНИЛА</w:t>
      </w:r>
    </w:p>
    <w:p w:rsidR="00000000" w:rsidDel="00000000" w:rsidP="00000000" w:rsidRDefault="00000000" w:rsidRPr="00000000" w14:paraId="0000001C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ученица 9 В класса </w:t>
      </w:r>
    </w:p>
    <w:p w:rsidR="00000000" w:rsidDel="00000000" w:rsidP="00000000" w:rsidRDefault="00000000" w:rsidRPr="00000000" w14:paraId="0000001D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Сазонова Екатерина Максимовна </w:t>
      </w:r>
    </w:p>
    <w:p w:rsidR="00000000" w:rsidDel="00000000" w:rsidP="00000000" w:rsidRDefault="00000000" w:rsidRPr="00000000" w14:paraId="0000001E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НАУЧНЫЙ РУКОВОДИТЕЛЬ</w:t>
      </w:r>
    </w:p>
    <w:p w:rsidR="00000000" w:rsidDel="00000000" w:rsidP="00000000" w:rsidRDefault="00000000" w:rsidRPr="00000000" w14:paraId="00000020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Свешникова Анастасия Никитична</w:t>
      </w:r>
    </w:p>
    <w:p w:rsidR="00000000" w:rsidDel="00000000" w:rsidP="00000000" w:rsidRDefault="00000000" w:rsidRPr="00000000" w14:paraId="0000002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РЕЦЕНЗЕНТ</w:t>
      </w:r>
    </w:p>
    <w:p w:rsidR="00000000" w:rsidDel="00000000" w:rsidP="00000000" w:rsidRDefault="00000000" w:rsidRPr="00000000" w14:paraId="00000023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Свешникова Анастасия Никитична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Москва, 2023 г.</w:t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Содержание.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ВВЕДЕНИЕ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0.1 Основные понятия персонализированной медицины.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0.2 Предпосылки и краткая история становления.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ГЛАВА 1. Теория, преимущества и препятствия персонализированной медицины.</w:t>
      </w:r>
    </w:p>
    <w:p w:rsidR="00000000" w:rsidDel="00000000" w:rsidP="00000000" w:rsidRDefault="00000000" w:rsidRPr="00000000" w14:paraId="0000002F">
      <w:pPr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1.1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Биомаркёры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 их роль. Фармакогенетика и фармакогеномика.</w:t>
      </w:r>
    </w:p>
    <w:p w:rsidR="00000000" w:rsidDel="00000000" w:rsidP="00000000" w:rsidRDefault="00000000" w:rsidRPr="00000000" w14:paraId="00000030">
      <w:pPr>
        <w:ind w:firstLine="72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1.2 Классические субпопуляции пациентов и причины разных подходов к лечению.</w:t>
      </w:r>
    </w:p>
    <w:p w:rsidR="00000000" w:rsidDel="00000000" w:rsidP="00000000" w:rsidRDefault="00000000" w:rsidRPr="00000000" w14:paraId="00000031">
      <w:pPr>
        <w:ind w:firstLine="72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1.3 Требования к методу фармакогенетического тестирования.</w:t>
      </w:r>
    </w:p>
    <w:p w:rsidR="00000000" w:rsidDel="00000000" w:rsidP="00000000" w:rsidRDefault="00000000" w:rsidRPr="00000000" w14:paraId="00000032">
      <w:pPr>
        <w:ind w:firstLine="72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1.4 Персонализация фармакотерапии на фенотипическом уровне на примере астмы.</w:t>
      </w:r>
    </w:p>
    <w:p w:rsidR="00000000" w:rsidDel="00000000" w:rsidP="00000000" w:rsidRDefault="00000000" w:rsidRPr="00000000" w14:paraId="00000033">
      <w:pPr>
        <w:ind w:firstLine="72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1.5 Препятствия практического внедрения персонализированной модели здравоохранения.</w:t>
      </w:r>
    </w:p>
    <w:p w:rsidR="00000000" w:rsidDel="00000000" w:rsidP="00000000" w:rsidRDefault="00000000" w:rsidRPr="00000000" w14:paraId="00000034">
      <w:pPr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ГЛАВА 2. Лабораторные методы секвенирования ДНК.</w:t>
      </w:r>
    </w:p>
    <w:p w:rsidR="00000000" w:rsidDel="00000000" w:rsidP="00000000" w:rsidRDefault="00000000" w:rsidRPr="00000000" w14:paraId="00000035">
      <w:pPr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2.1 Классические методы молекулярной диагностики (скринирующие и сканирующие).</w:t>
      </w:r>
    </w:p>
    <w:p w:rsidR="00000000" w:rsidDel="00000000" w:rsidP="00000000" w:rsidRDefault="00000000" w:rsidRPr="00000000" w14:paraId="00000036">
      <w:pPr>
        <w:ind w:firstLine="72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2.2 Методы, основанные на количественной ПЦР в реальном времени.</w:t>
      </w:r>
    </w:p>
    <w:p w:rsidR="00000000" w:rsidDel="00000000" w:rsidP="00000000" w:rsidRDefault="00000000" w:rsidRPr="00000000" w14:paraId="00000037">
      <w:pPr>
        <w:ind w:firstLine="72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2.3 Микроматричный анализ.</w:t>
      </w:r>
    </w:p>
    <w:p w:rsidR="00000000" w:rsidDel="00000000" w:rsidP="00000000" w:rsidRDefault="00000000" w:rsidRPr="00000000" w14:paraId="00000038">
      <w:pPr>
        <w:ind w:firstLine="72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2.4 Однонуклеотидное удлинение праймеров.</w:t>
      </w:r>
    </w:p>
    <w:p w:rsidR="00000000" w:rsidDel="00000000" w:rsidP="00000000" w:rsidRDefault="00000000" w:rsidRPr="00000000" w14:paraId="00000039">
      <w:pPr>
        <w:ind w:firstLine="72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2.5 Капиллярное секвенирование (секвенирование по Сенгеру).</w:t>
      </w:r>
    </w:p>
    <w:p w:rsidR="00000000" w:rsidDel="00000000" w:rsidP="00000000" w:rsidRDefault="00000000" w:rsidRPr="00000000" w14:paraId="0000003A">
      <w:pPr>
        <w:ind w:firstLine="72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2.6 Технологии МПС.</w:t>
      </w:r>
    </w:p>
    <w:p w:rsidR="00000000" w:rsidDel="00000000" w:rsidP="00000000" w:rsidRDefault="00000000" w:rsidRPr="00000000" w14:paraId="0000003B">
      <w:pPr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Выводы. Предпринятые шаги и необходимые меры.</w:t>
      </w:r>
    </w:p>
    <w:p w:rsidR="00000000" w:rsidDel="00000000" w:rsidP="00000000" w:rsidRDefault="00000000" w:rsidRPr="00000000" w14:paraId="0000003C">
      <w:pPr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ЗАКЛЮЧЕНИЕ</w:t>
      </w:r>
    </w:p>
    <w:p w:rsidR="00000000" w:rsidDel="00000000" w:rsidP="00000000" w:rsidRDefault="00000000" w:rsidRPr="00000000" w14:paraId="0000003D">
      <w:pPr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СПИСОК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right"/>
        <w:rPr>
          <w:rFonts w:ascii="Times New Roman" w:cs="Times New Roman" w:eastAsia="Times New Roman" w:hAnsi="Times New Roman"/>
          <w:b w:val="1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Введение.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Проблема: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Персонифицированная (или персонализированная) медицина — малоизученный, но перспективный раздел генетики.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Её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развитие может улучшить качество жизни человека. Однако из-за малого количества информации о ней возникают сложности с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её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развитием.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Обзорное описание состояния этого раздела науки и принятых решений для его развития.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Изучить по литературным источникам и описать следующие вопросы: 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Появление раздела и определение его деятельности.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Лабораторные методы персонализированной медицины (гл 2).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Преимущества персонализированной медицины и необходимость её внедрения (гл 1).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Перспективы и уже предпринятые шаги (выводы).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0.1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Основные понятия парадигмы персонализированной медицины.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afterAutospacing="0" w:before="240" w:lineRule="auto"/>
        <w:ind w:left="283.46456692913375" w:hanging="27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Медицина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индивидуализированная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— с акцентом на то, что речь идет об индивидуальном подходе к каждому пациенту;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afterAutospacing="0" w:before="0" w:beforeAutospacing="0" w:lineRule="auto"/>
        <w:ind w:left="283.46456692913375" w:hanging="27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Медицина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прецизионная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— дословно более «точная», в понятии отражающая большую объективность к диагностике и лечению;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afterAutospacing="0" w:before="0" w:beforeAutospacing="0" w:lineRule="auto"/>
        <w:ind w:left="283.46456692913375" w:hanging="27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Медицина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предиктивная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— для множества заболеваний присутствует возможность определения предрасположенности к их развитию;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240" w:before="0" w:beforeAutospacing="0" w:lineRule="auto"/>
        <w:ind w:left="283.46456692913375" w:hanging="27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Медицина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стратифицированная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— подразумевается, что гетерогенность каждого заболевания делает необходимым соответствующее разделение, то есть стратификацию пациентов на группы, лечение в которых будет различаться в зависимости от ряда критериев, в том числе генетических особенностей (Под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генетической гетерогенностью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наследственных болезней подразумевают феномен, когда клинически единое заболевание может быть обусловлено мутациями в разных генах (локусная гетерогенность) или, напротив, когда мутации в одном гене обусловливают различные по тяжести клинические формы одного заболевания либо разные по клиническим проявлениям заболевания (аллельная гетерогенность)) [2].</w:t>
      </w:r>
    </w:p>
    <w:p w:rsidR="00000000" w:rsidDel="00000000" w:rsidP="00000000" w:rsidRDefault="00000000" w:rsidRPr="00000000" w14:paraId="0000005B">
      <w:pPr>
        <w:spacing w:after="240" w:before="240" w:lineRule="auto"/>
        <w:ind w:left="0"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Следует также различать причины гетерогенности. В настоящий момент выделено 4 группы причин гетерогенности [3]: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after="0" w:afterAutospacing="0" w:before="240" w:lineRule="auto"/>
        <w:ind w:left="992.1259842519685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Генетические, могут быть обусловлены суммарным действием генов либо с равномерно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разделённым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влиянием, либо с наличием одного главного и других, оказывающих модифицирующее влияние на клинические проявления.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after="0" w:afterAutospacing="0" w:before="0" w:beforeAutospacing="0" w:lineRule="auto"/>
        <w:ind w:left="99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Эпигенетические, когда в ходе изменений генома не меняется структура ДНК, а экспрессию генов определяют вариации статуса метилирования ДНК и/или вариации структурной организации хроматина. Такие изменения способны передаваться не только в клеточном делении, но также и в половом размножении, а частота таких эпимутаций гораздо выше той же генной мутации.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after="0" w:afterAutospacing="0" w:before="0" w:beforeAutospacing="0" w:lineRule="auto"/>
        <w:ind w:left="99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Средовые (или условные). Их роль вместе со следующими, случайными, очевидна, но их взаимодействие с наследуемыми факторами мало изучено.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after="240" w:before="0" w:beforeAutospacing="0" w:lineRule="auto"/>
        <w:ind w:left="99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Стохастические (или случайные).</w:t>
      </w:r>
    </w:p>
    <w:p w:rsidR="00000000" w:rsidDel="00000000" w:rsidP="00000000" w:rsidRDefault="00000000" w:rsidRPr="00000000" w14:paraId="00000060">
      <w:pPr>
        <w:spacing w:after="240" w:before="240" w:lineRule="auto"/>
        <w:ind w:left="0" w:firstLine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Среди же наиболее распространённых определений этого раздела науки можно выделить следующие:</w:t>
      </w:r>
    </w:p>
    <w:p w:rsidR="00000000" w:rsidDel="00000000" w:rsidP="00000000" w:rsidRDefault="00000000" w:rsidRPr="00000000" w14:paraId="00000061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 определению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Коалиции персонализированной медицины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[4]: «Персонализированная медицина — развивающаяся область, в которой врачи используют диагностические тесты для определения того, какие виды медицинского лечения будут действовать наилучшим образом на каждого пациента, а также использовать медицинские вмешательства для изменения молекулярных механизмов, влияющих на здоровье»;</w:t>
      </w:r>
    </w:p>
    <w:p w:rsidR="00000000" w:rsidDel="00000000" w:rsidP="00000000" w:rsidRDefault="00000000" w:rsidRPr="00000000" w14:paraId="00000062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 определению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Президентского совета по науке и технологиям США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[5]: «Прецизионная медицина — область медицины, учитывающая индивидуальные различия в генах, микробиомах, среде, семейном анамнезе и образе жизни для определения стратегии диагностики, лечения и профилактики, точно направленных на конкретного пациента»;</w:t>
      </w:r>
    </w:p>
    <w:p w:rsidR="00000000" w:rsidDel="00000000" w:rsidP="00000000" w:rsidRDefault="00000000" w:rsidRPr="00000000" w14:paraId="00000063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 определению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Национального института рака США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[6]: «Персонализированная медицина — подход к медицинской практике, использующий информацию о генетических, биохимических, а также внешних средовых факторах для профилактики, диагностики и лечения заболеваний».</w:t>
      </w:r>
    </w:p>
    <w:p w:rsidR="00000000" w:rsidDel="00000000" w:rsidP="00000000" w:rsidRDefault="00000000" w:rsidRPr="00000000" w14:paraId="00000064">
      <w:pPr>
        <w:spacing w:after="240" w:before="240" w:lineRule="auto"/>
        <w:ind w:left="720" w:hanging="72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0.2 Предпосылки и история становления раздела науки.</w:t>
      </w:r>
    </w:p>
    <w:p w:rsidR="00000000" w:rsidDel="00000000" w:rsidP="00000000" w:rsidRDefault="00000000" w:rsidRPr="00000000" w14:paraId="00000065">
      <w:pPr>
        <w:spacing w:after="240" w:before="240" w:lineRule="auto"/>
        <w:ind w:left="0" w:firstLine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Начало роста числа публикаций отмечается в период с 1999 по 2001 год, что обусловлено завершением проекта “Геном человека”, позволившего прочитать нуклеотидные последовательности всех генов человека. Это позволило делать прогнозы о “геномной медицине”, когда заболевание будет диагностироваться на уровне генома, а лечение будет назначаться с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учётом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генетических особенностей пациента. </w:t>
      </w:r>
    </w:p>
    <w:p w:rsidR="00000000" w:rsidDel="00000000" w:rsidP="00000000" w:rsidRDefault="00000000" w:rsidRPr="00000000" w14:paraId="00000066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качестве предпосылок вышеупомянутого роста актуальности персонализированного подхода может быть назван ряд вполне объективных факторов, главными из которых являются следующие:</w:t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завершение проекта «Геном человека»;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совершенствование и повышение доступности методов молекулярно-генетической диагностики;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возрастающая необходимость оптимизации расходов на исследование и разработку новых лекарственных средств;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прогрессирующее снижение числа инновационных разработок лекарственных средств, необходимость поиска путей эффективного использования уже имеющихся ЛС;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углубление знаний по молекулярным аспектам фармакокинетики и фармакодинамики ЛС;</w:t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высокая частота нежелательных лекарственных реакций / низкая эффективность при эмпирическом (традиционном) подборе фармакотерапии путем проб и ошибок;</w:t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повышение запросов общества и регулирующих инстанций на увеличение эффективности оказываемой медицинской помощи.</w:t>
      </w:r>
    </w:p>
    <w:p w:rsidR="00000000" w:rsidDel="00000000" w:rsidP="00000000" w:rsidRDefault="00000000" w:rsidRPr="00000000" w14:paraId="0000006E">
      <w:pPr>
        <w:spacing w:after="240" w:before="240" w:lineRule="auto"/>
        <w:ind w:firstLine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Одна из отличительных черт современного этапа развития ПМ это, конечно же,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её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неразрывная связь с прогрессивными исследованиями в различных областях фундаментальной биологии. Начало XIX века ознаменовано становлением так называемых «-омикс»-технологий, которые предполагают комплексное изучение живых систем на всех уровнях реализации генетической информации, начиная от совокупности генов и заканчивая уникальным метаболическим профилем. Следует отметить, что на данный момент больше всего развита именно геномика. Другие направления «-омиксных» исследований находятся на относительно ранних этапах становления и говорить о их прямом клиническом применении на текущий момент преждевременно.</w:t>
      </w:r>
    </w:p>
    <w:p w:rsidR="00000000" w:rsidDel="00000000" w:rsidP="00000000" w:rsidRDefault="00000000" w:rsidRPr="00000000" w14:paraId="0000006F">
      <w:pPr>
        <w:spacing w:after="240" w:before="240" w:lineRule="auto"/>
        <w:ind w:firstLine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40" w:before="240" w:lineRule="auto"/>
        <w:ind w:firstLine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40" w:before="240" w:lineRule="auto"/>
        <w:ind w:firstLine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40" w:before="240" w:lineRule="auto"/>
        <w:ind w:firstLine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40" w:before="240" w:lineRule="auto"/>
        <w:ind w:firstLine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40" w:befor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40" w:before="240" w:lineRule="auto"/>
        <w:ind w:firstLine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рис. 1 краткая история появления и становления ПМ.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-77288</wp:posOffset>
            </wp:positionH>
            <wp:positionV relativeFrom="paragraph">
              <wp:posOffset>114300</wp:posOffset>
            </wp:positionV>
            <wp:extent cx="3965904" cy="4261041"/>
            <wp:effectExtent b="0" l="0" r="0" t="0"/>
            <wp:wrapSquare wrapText="bothSides" distB="114300" distT="114300" distL="114300" distR="11430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5904" cy="42610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6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40" w:befor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40" w:befor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40" w:befor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40" w:befor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40" w:befor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40" w:befor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40" w:befor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40" w:befor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40" w:befor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40" w:befor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рис. 2. появление “-омикс”-технологий.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</w:rPr>
        <w:drawing>
          <wp:inline distB="114300" distT="114300" distL="114300" distR="114300">
            <wp:extent cx="4629150" cy="24384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43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40" w:before="240" w:lineRule="auto"/>
        <w:ind w:left="0" w:firstLine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40" w:before="240" w:lineRule="auto"/>
        <w:ind w:left="0" w:firstLine="285"/>
        <w:jc w:val="righ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Глава 1. Теория, преимущества и препятствия персонализированной медицины.</w:t>
      </w:r>
    </w:p>
    <w:p w:rsidR="00000000" w:rsidDel="00000000" w:rsidP="00000000" w:rsidRDefault="00000000" w:rsidRPr="00000000" w14:paraId="00000083">
      <w:pPr>
        <w:spacing w:after="240" w:before="240" w:lineRule="auto"/>
        <w:ind w:left="0" w:firstLine="285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Биомаркёры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и их роль. Фармакогенетика и фармакогеномика.</w:t>
      </w:r>
    </w:p>
    <w:p w:rsidR="00000000" w:rsidDel="00000000" w:rsidP="00000000" w:rsidRDefault="00000000" w:rsidRPr="00000000" w14:paraId="00000084">
      <w:pPr>
        <w:spacing w:after="240" w:before="240" w:lineRule="auto"/>
        <w:ind w:left="0" w:firstLine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Достижения биомедицины призваны быть мощным подспорьем еще одной чрезвычайно отчетливой тенденции — возрастания роли биомаркеров и понимание широчайших возможностей их практического применения. Официальным определением биомаркеров является следующее: «Биомаркеры — объективно определяемые характеристики, служащие индикаторами протекания нормального или патологического процесса, либо фармакологического ответа пациента на терапевтическое вмешательство». </w:t>
      </w:r>
    </w:p>
    <w:p w:rsidR="00000000" w:rsidDel="00000000" w:rsidP="00000000" w:rsidRDefault="00000000" w:rsidRPr="00000000" w14:paraId="00000085">
      <w:pPr>
        <w:spacing w:after="240" w:before="240" w:lineRule="auto"/>
        <w:ind w:left="0" w:firstLine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классификации биомаркеров принято выделять 2 группы: по природе биомаркера (1) и по его значению (2).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561975</wp:posOffset>
            </wp:positionV>
            <wp:extent cx="4629150" cy="2520832"/>
            <wp:effectExtent b="0" l="0" r="0" t="0"/>
            <wp:wrapSquare wrapText="bothSides" distB="114300" distT="11430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5208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6">
      <w:pPr>
        <w:spacing w:after="240" w:before="240" w:lineRule="auto"/>
        <w:ind w:left="0" w:firstLine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40" w:before="240" w:lineRule="auto"/>
        <w:ind w:left="0" w:firstLine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40" w:before="240" w:lineRule="auto"/>
        <w:ind w:left="0" w:firstLine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40" w:before="240" w:lineRule="auto"/>
        <w:ind w:left="0" w:firstLine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40" w:before="240" w:lineRule="auto"/>
        <w:ind w:left="0" w:firstLine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40" w:before="240" w:lineRule="auto"/>
        <w:ind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40" w:before="240" w:lineRule="auto"/>
        <w:ind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40" w:before="240" w:lineRule="auto"/>
        <w:ind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Конечно, нельзя утверждать, что до этого не существовало индивидуализации пациентов, что не позволяет говорить о персонализированной медицине как об абсолютно новой парадигме. Однако изначально эта индивидуализация носила эмпирический характер (и по большей части сохраняет его до сих пор), в то время как персонализированная медицина позволяет использовать научно-обоснованные методы индивидуализации фармакотерапии. Также можно сказать, что в современной практической медицине главенствующими должны считаться принципы медицины, основанной на доказательствах, — стандарты и утвержденные протоколы ведения пациентов. В этой связи следует подчеркнуть, что даже назначение терапии в соответствии с наиболее современными клиническими рекомендациями не гарантирует успеха при отсутствии взвешенного аналитического подхода, иными словами, клинического мышления, учитывающего особенности каждого конкретного пациента.</w:t>
      </w:r>
    </w:p>
    <w:p w:rsidR="00000000" w:rsidDel="00000000" w:rsidP="00000000" w:rsidRDefault="00000000" w:rsidRPr="00000000" w14:paraId="0000008F">
      <w:pPr>
        <w:spacing w:after="240" w:before="240" w:lineRule="auto"/>
        <w:ind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Статистика по проценту пациентов, для которых «стандартная» терапия оказывается по разным причинам неэффективной, отличается в зависимости от конкретной патологии, достигая в случае отдельных онкологических заболеваний 70 процентов. При этом во многих случаях причиной наблюдаемых отрицательных результатов лечения является гетерогенность пациентов, обусловленная генетическими различиями в фармакокинетике и, в частности, метаболизме лекарственных средств. Этот фактор лёг в основу фармакогенетики – науки, изучающей полиморфизм отдельных генов, связанных с синтезом белков, принимающих участие в фармакокинетических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(процессы, происходящие в ходе метаболизма лекарственного средства)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 отчасти фармакодинамических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(совокупность эффектов лекарственных средств и их действие на организм) процессов.</w:t>
      </w:r>
    </w:p>
    <w:p w:rsidR="00000000" w:rsidDel="00000000" w:rsidP="00000000" w:rsidRDefault="00000000" w:rsidRPr="00000000" w14:paraId="00000090">
      <w:pPr>
        <w:spacing w:after="240" w:before="240" w:lineRule="auto"/>
        <w:ind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После завершения проекта “Геном человека” постепенно начала развиваться фармакогеномика. Это понятие часто считают взаимозаменяемым с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фармакогенетикой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но на самом деле это не так. Фармакогеномика — более широкое направление, подразумевающее изучение генетических различий на уровне генома. Вместе с тем, с точки зрения фармакологов, задача перед обоими разделами, одна — выявить группы пациентов, для которых “стандартная” доза препарата является неприемлемой, что вызвано генетическими особенностями, затрагивающими фармакокинетические и фармакодинамические процессы.</w:t>
      </w:r>
    </w:p>
    <w:p w:rsidR="00000000" w:rsidDel="00000000" w:rsidP="00000000" w:rsidRDefault="00000000" w:rsidRPr="00000000" w14:paraId="00000091">
      <w:pPr>
        <w:spacing w:after="240" w:before="240" w:lineRule="auto"/>
        <w:ind w:firstLine="283.46456692913375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1.2 Классические субпопуляции пациентов и причины разных подходов к лечению.</w:t>
      </w:r>
    </w:p>
    <w:p w:rsidR="00000000" w:rsidDel="00000000" w:rsidP="00000000" w:rsidRDefault="00000000" w:rsidRPr="00000000" w14:paraId="00000092">
      <w:pPr>
        <w:spacing w:after="240" w:before="240" w:lineRule="auto"/>
        <w:ind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Также наибольшую значимость представляют следующие сценарии:</w:t>
      </w:r>
    </w:p>
    <w:p w:rsidR="00000000" w:rsidDel="00000000" w:rsidP="00000000" w:rsidRDefault="00000000" w:rsidRPr="00000000" w14:paraId="00000093">
      <w:pPr>
        <w:numPr>
          <w:ilvl w:val="0"/>
          <w:numId w:val="10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Низкая активность ферментов метаболизма (медленные метаболизаторы) — в этом случае требуется снижение дозировки во избежание побочных эффектов;</w:t>
      </w:r>
    </w:p>
    <w:p w:rsidR="00000000" w:rsidDel="00000000" w:rsidP="00000000" w:rsidRDefault="00000000" w:rsidRPr="00000000" w14:paraId="00000094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Высокая активность ферментов метаболизма (быстрые и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ультрабыстрые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метаболизаторы) и соответственно необходимость повышения дозы для достижения терапевтического эффекта;</w:t>
      </w:r>
    </w:p>
    <w:p w:rsidR="00000000" w:rsidDel="00000000" w:rsidP="00000000" w:rsidRDefault="00000000" w:rsidRPr="00000000" w14:paraId="00000095">
      <w:pPr>
        <w:numPr>
          <w:ilvl w:val="0"/>
          <w:numId w:val="10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Изначальная неэффективность «стандартной» терапии и необходимость назначения альтернативного лечения (потребность в препаратах второй и третьей линии).</w:t>
      </w:r>
    </w:p>
    <w:p w:rsidR="00000000" w:rsidDel="00000000" w:rsidP="00000000" w:rsidRDefault="00000000" w:rsidRPr="00000000" w14:paraId="00000096">
      <w:pPr>
        <w:spacing w:after="240" w:before="240" w:lineRule="auto"/>
        <w:ind w:left="0"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настоящее время именно фармакогеномика наиболее близка к практическому применению.  Доказательством этого является существование порядка 150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фармакогеномных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маркеров, которые потенциально могут быть использованы для оптимизации фармакотерапии пациентов. В настоящее время порядка 140 одобренных FDA препаратов содержат информацию о фармакогеномных биомаркерах в различных разделах инструкции по применению, при этом большинство из них направлено на лечение онкологических, в том числе онкогематологических заболеваний [2]. </w:t>
      </w:r>
    </w:p>
    <w:p w:rsidR="00000000" w:rsidDel="00000000" w:rsidP="00000000" w:rsidRDefault="00000000" w:rsidRPr="00000000" w14:paraId="00000097">
      <w:pPr>
        <w:spacing w:after="240" w:before="240" w:lineRule="auto"/>
        <w:ind w:left="0" w:firstLine="283.46456692913375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1.3 Требования к методу фармакогенетического тестирования.</w:t>
      </w:r>
    </w:p>
    <w:p w:rsidR="00000000" w:rsidDel="00000000" w:rsidP="00000000" w:rsidRDefault="00000000" w:rsidRPr="00000000" w14:paraId="00000098">
      <w:pPr>
        <w:spacing w:after="240" w:before="240" w:lineRule="auto"/>
        <w:ind w:left="0" w:firstLine="283.46456692913375"/>
        <w:rPr>
          <w:rFonts w:ascii="Times New Roman" w:cs="Times New Roman" w:eastAsia="Times New Roman" w:hAnsi="Times New Roman"/>
          <w:color w:val="11111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Для многих препаратов исследование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фармакогеномных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биомаркеров может стать помощью в выборе оптимальной дозы препарата.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6"/>
          <w:szCs w:val="26"/>
          <w:rtl w:val="0"/>
        </w:rPr>
        <w:t xml:space="preserve">Получаемая информация играет две основные роли:</w:t>
      </w:r>
    </w:p>
    <w:p w:rsidR="00000000" w:rsidDel="00000000" w:rsidP="00000000" w:rsidRDefault="00000000" w:rsidRPr="00000000" w14:paraId="00000099">
      <w:pPr>
        <w:numPr>
          <w:ilvl w:val="0"/>
          <w:numId w:val="12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11111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6"/>
          <w:szCs w:val="26"/>
          <w:rtl w:val="0"/>
        </w:rPr>
        <w:t xml:space="preserve">Помогает практикующим врачам правильно подбирать препараты и их дозы.</w:t>
      </w:r>
    </w:p>
    <w:p w:rsidR="00000000" w:rsidDel="00000000" w:rsidP="00000000" w:rsidRDefault="00000000" w:rsidRPr="00000000" w14:paraId="0000009A">
      <w:pPr>
        <w:numPr>
          <w:ilvl w:val="0"/>
          <w:numId w:val="12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color w:val="11111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6"/>
          <w:szCs w:val="26"/>
          <w:rtl w:val="0"/>
        </w:rPr>
        <w:t xml:space="preserve">Помогает фармацевтическим компаниям создавать новые лекарства — более безопасные и эффективные, с минимизацией побочных эффектов.</w:t>
      </w:r>
    </w:p>
    <w:p w:rsidR="00000000" w:rsidDel="00000000" w:rsidP="00000000" w:rsidRDefault="00000000" w:rsidRPr="00000000" w14:paraId="0000009B">
      <w:pPr>
        <w:spacing w:after="240" w:before="240" w:lineRule="auto"/>
        <w:ind w:left="0" w:firstLine="285"/>
        <w:rPr>
          <w:rFonts w:ascii="Times New Roman" w:cs="Times New Roman" w:eastAsia="Times New Roman" w:hAnsi="Times New Roman"/>
          <w:color w:val="11111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6"/>
          <w:szCs w:val="26"/>
          <w:rtl w:val="0"/>
        </w:rPr>
        <w:t xml:space="preserve">Кроме того, фармакогенетическое тестирование позволяет однозначно установить группы пациентов, для которых назначение препаратов изначально является нецелесообразным. Например, установлено, что определённые моноклональные тела эффективны только у носителей не мутировавших, “диких” аллельных вариантов генов различных белков, принимающих участие в патологической активации и прогрессировании колоректального рака.</w:t>
      </w:r>
    </w:p>
    <w:p w:rsidR="00000000" w:rsidDel="00000000" w:rsidP="00000000" w:rsidRDefault="00000000" w:rsidRPr="00000000" w14:paraId="0000009C">
      <w:pPr>
        <w:spacing w:after="240" w:before="240" w:lineRule="auto"/>
        <w:ind w:left="0" w:firstLine="285"/>
        <w:rPr>
          <w:rFonts w:ascii="Times New Roman" w:cs="Times New Roman" w:eastAsia="Times New Roman" w:hAnsi="Times New Roman"/>
          <w:color w:val="11111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6"/>
          <w:szCs w:val="26"/>
          <w:rtl w:val="0"/>
        </w:rPr>
        <w:t xml:space="preserve">Название “таргетная” этой терапии подчеркивает не только специфическое воздействие на определенный молекулярно-патологический путь, но и на необходимость выделения субпопуляции (группы) пациентов, которая будет являться целевой для конкретного метода лечения и для которых эта терапия будет успешна.</w:t>
      </w:r>
    </w:p>
    <w:p w:rsidR="00000000" w:rsidDel="00000000" w:rsidP="00000000" w:rsidRDefault="00000000" w:rsidRPr="00000000" w14:paraId="0000009D">
      <w:pPr>
        <w:spacing w:after="240" w:before="240" w:lineRule="auto"/>
        <w:ind w:left="0" w:firstLine="283.46456692913375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Стоит отметить один из первых относительно успешных примеров внедрения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фармакогеномического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тестирования, а именно — оптимизацию терапии непрямым антикоагулянтом варфарином (а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нтикоагулянты непрямого действия отличаются тем, что они могут длительно (месяцами, годами) применяться не только в стационарах различного профиля, но и в амбулаторных (домашних) условиях [7]). Варфарин обладает узкой специализацией, риском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тяжёлых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побочных эффектов (вплоть до летальных). Также доказано, что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определённые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генетические факторы влияют на большую вариабельность фармакотерапевтического ответа. Всё вышеперечисленное делает его идеальным кандидатом для применения фармакогенетического теста. Чувствительность к непрямым антикоагулянтам довольно часто встречается у больных, это вызывает необходимость подбора доз. Однако в ходе проведения анализов выяснилось, что генетический полиморфизм белков обуславливает только 35% вариативности фармакогенетического ответа. Из-за этого вопрос фармакогенетических тестирований остаётся открытым.</w:t>
      </w:r>
    </w:p>
    <w:p w:rsidR="00000000" w:rsidDel="00000000" w:rsidP="00000000" w:rsidRDefault="00000000" w:rsidRPr="00000000" w14:paraId="0000009E">
      <w:pPr>
        <w:spacing w:after="240" w:before="240" w:lineRule="auto"/>
        <w:ind w:left="0" w:firstLine="283.46456692913375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Итак, фармакогенетическое тестирование призвано помочь в подборе терапевтической дозы в зависимости от генного полиморфизма. Однако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приведённый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выше пример показывает, что для успешного внедрения в клиническую практику, этот метод должен соответствовать ряду критериев, а именно:</w:t>
      </w:r>
    </w:p>
    <w:p w:rsidR="00000000" w:rsidDel="00000000" w:rsidP="00000000" w:rsidRDefault="00000000" w:rsidRPr="00000000" w14:paraId="0000009F">
      <w:pPr>
        <w:numPr>
          <w:ilvl w:val="0"/>
          <w:numId w:val="8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наличие ассоциации между полиформизмом и фармакологическим ответом;</w:t>
      </w:r>
    </w:p>
    <w:p w:rsidR="00000000" w:rsidDel="00000000" w:rsidP="00000000" w:rsidRDefault="00000000" w:rsidRPr="00000000" w14:paraId="000000A0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наличие алгоритма клинической интерпретации получаемой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фармакогенетической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информации;</w:t>
      </w:r>
    </w:p>
    <w:p w:rsidR="00000000" w:rsidDel="00000000" w:rsidP="00000000" w:rsidRDefault="00000000" w:rsidRPr="00000000" w14:paraId="000000A1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достаточная величина встречаемости изучаемого полиморфизма в популяции;</w:t>
      </w:r>
    </w:p>
    <w:p w:rsidR="00000000" w:rsidDel="00000000" w:rsidP="00000000" w:rsidRDefault="00000000" w:rsidRPr="00000000" w14:paraId="000000A2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доказанные преимущества фармакогенетического подхода к выбору терапии по сравнению с традиционным;</w:t>
      </w:r>
    </w:p>
    <w:p w:rsidR="00000000" w:rsidDel="00000000" w:rsidP="00000000" w:rsidRDefault="00000000" w:rsidRPr="00000000" w14:paraId="000000A3">
      <w:pPr>
        <w:numPr>
          <w:ilvl w:val="0"/>
          <w:numId w:val="8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доступность тестирования для врача и пациента.</w:t>
      </w:r>
    </w:p>
    <w:p w:rsidR="00000000" w:rsidDel="00000000" w:rsidP="00000000" w:rsidRDefault="00000000" w:rsidRPr="00000000" w14:paraId="000000A4">
      <w:pPr>
        <w:spacing w:after="240" w:before="240" w:lineRule="auto"/>
        <w:ind w:left="0" w:firstLine="283.46456692913375"/>
        <w:jc w:val="center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1.4 Персонализация фармакотерапии на фенотипическом уровне на примере астмы.</w:t>
      </w:r>
    </w:p>
    <w:p w:rsidR="00000000" w:rsidDel="00000000" w:rsidP="00000000" w:rsidRDefault="00000000" w:rsidRPr="00000000" w14:paraId="000000A5">
      <w:pPr>
        <w:spacing w:after="240" w:before="240" w:lineRule="auto"/>
        <w:ind w:left="0" w:firstLine="283.46456692913375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</w:rPr>
        <w:drawing>
          <wp:inline distB="114300" distT="114300" distL="114300" distR="114300">
            <wp:extent cx="4705350" cy="264795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647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40" w:before="240" w:lineRule="auto"/>
        <w:ind w:firstLine="283.46456692913375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Вместе с тем, не следует забывать, что на фармакологический ответ оказывает влияние множество факторов, зачастую не связанных с генетическими особенностями. Преобладание одной из вышеперечисленных групп факторов определяет необходимость персонализации фармакотерапии не только на уровне генотипа, но и на уровне фенотипа. </w:t>
      </w:r>
    </w:p>
    <w:p w:rsidR="00000000" w:rsidDel="00000000" w:rsidP="00000000" w:rsidRDefault="00000000" w:rsidRPr="00000000" w14:paraId="000000A7">
      <w:pPr>
        <w:spacing w:after="240" w:before="240" w:lineRule="auto"/>
        <w:ind w:firstLine="283.46456692913375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Хорошим примером является такое заболевание, как бронхиальная астма. Исследования её генетики последних лет показали, что несмотря на выявленную генетическую предрасположенность, генетические маркеры, благодаря определению которых можно было бы говорить о персонализации фармакотерапии данного заболевания, отсутствуют, так как взаимосвязь генов,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вовлечённых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её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патогенез, чрезвычайно сложна. </w:t>
      </w:r>
    </w:p>
    <w:p w:rsidR="00000000" w:rsidDel="00000000" w:rsidP="00000000" w:rsidRDefault="00000000" w:rsidRPr="00000000" w14:paraId="000000A8">
      <w:pPr>
        <w:spacing w:after="240" w:before="240" w:lineRule="auto"/>
        <w:ind w:firstLine="283.46456692913375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Изучение же молекулярных механизмов бронхиальной астмы, с одной стороны углубило представления о ней учёных, но с другой стороны сильнее всё усложнило и, как следствие, от механистического подхода к назначению противоастматической терапии пришлось отказаться. Причиной отсутствия маркеров оказалось высокое влияние “триггеров” астмы — факторов внешней среды, которых существует множество. Для исследования такого рода заболеваний чаще всего исследуют фенотипические характеристики, то есть внешние факторы и патобиохимический механизм, который они вызывают. В настоящее время именно концепция фенотипов и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эндотипов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признана перспективной для определения критериев персонализированного назначения противоастматической терапии. Европейская ассоциация аллергологов и клинических иммунологов приводит следующие определения фенотипа, молекулярного фенотипа и эндотипа:</w:t>
      </w:r>
    </w:p>
    <w:p w:rsidR="00000000" w:rsidDel="00000000" w:rsidP="00000000" w:rsidRDefault="00000000" w:rsidRPr="00000000" w14:paraId="000000A9">
      <w:pPr>
        <w:numPr>
          <w:ilvl w:val="0"/>
          <w:numId w:val="1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Фенотип — совокупность характеристик пациента как следствие взаимодействия генотипа и внешней среды.</w:t>
      </w:r>
    </w:p>
    <w:p w:rsidR="00000000" w:rsidDel="00000000" w:rsidP="00000000" w:rsidRDefault="00000000" w:rsidRPr="00000000" w14:paraId="000000AA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Молекулярный фенотип — взаимосвязь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патобиологического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фенотипа и специфических биомаркеров.</w:t>
      </w:r>
    </w:p>
    <w:p w:rsidR="00000000" w:rsidDel="00000000" w:rsidP="00000000" w:rsidRDefault="00000000" w:rsidRPr="00000000" w14:paraId="000000AB">
      <w:pPr>
        <w:numPr>
          <w:ilvl w:val="0"/>
          <w:numId w:val="11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Эндотип — ключевой молекулярный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патобиологический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путь, воздействие на который приводит к улучшению клинического исхода.</w:t>
      </w:r>
    </w:p>
    <w:p w:rsidR="00000000" w:rsidDel="00000000" w:rsidP="00000000" w:rsidRDefault="00000000" w:rsidRPr="00000000" w14:paraId="000000AC">
      <w:pPr>
        <w:spacing w:after="240" w:before="240" w:lineRule="auto"/>
        <w:ind w:firstLine="283.46456692913375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В настоящее время, согласно рекомендациям Global Initiative for Asthma (GINA), 2017 выделяют следующие фенотипы БА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[8]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AD">
      <w:pPr>
        <w:numPr>
          <w:ilvl w:val="0"/>
          <w:numId w:val="14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Аллергическая астма (Ведущим иммунологическим механизмом атопической БА является аллергическая реакция немедленного типа (IgE-опосредованная), а воспаление дыхательных путей носит аллергический характер [9]), ассоциируется с атопией.</w:t>
      </w:r>
    </w:p>
    <w:p w:rsidR="00000000" w:rsidDel="00000000" w:rsidP="00000000" w:rsidRDefault="00000000" w:rsidRPr="00000000" w14:paraId="000000AE">
      <w:pPr>
        <w:numPr>
          <w:ilvl w:val="0"/>
          <w:numId w:val="1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Неаллергическая астма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ассоциирована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с назальными полипами, чувствительностью к аспирину; манифестации предшествует респираторная вирусная инфекция).</w:t>
      </w:r>
    </w:p>
    <w:p w:rsidR="00000000" w:rsidDel="00000000" w:rsidP="00000000" w:rsidRDefault="00000000" w:rsidRPr="00000000" w14:paraId="000000AF">
      <w:pPr>
        <w:numPr>
          <w:ilvl w:val="0"/>
          <w:numId w:val="1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БА с поздним началом.</w:t>
      </w:r>
    </w:p>
    <w:p w:rsidR="00000000" w:rsidDel="00000000" w:rsidP="00000000" w:rsidRDefault="00000000" w:rsidRPr="00000000" w14:paraId="000000B0">
      <w:pPr>
        <w:numPr>
          <w:ilvl w:val="0"/>
          <w:numId w:val="1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БА с фиксированным ограничением скорости воздушного потока (за счет ремоделирования стенок бронхов);</w:t>
      </w:r>
    </w:p>
    <w:p w:rsidR="00000000" w:rsidDel="00000000" w:rsidP="00000000" w:rsidRDefault="00000000" w:rsidRPr="00000000" w14:paraId="000000B1">
      <w:pPr>
        <w:numPr>
          <w:ilvl w:val="0"/>
          <w:numId w:val="1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БА на фоне ожирения.</w:t>
      </w:r>
    </w:p>
    <w:p w:rsidR="00000000" w:rsidDel="00000000" w:rsidP="00000000" w:rsidRDefault="00000000" w:rsidRPr="00000000" w14:paraId="000000B2">
      <w:pPr>
        <w:numPr>
          <w:ilvl w:val="0"/>
          <w:numId w:val="14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БА + хроническая обструктивная болезнь легких (ХОБЛ). </w:t>
      </w:r>
    </w:p>
    <w:p w:rsidR="00000000" w:rsidDel="00000000" w:rsidP="00000000" w:rsidRDefault="00000000" w:rsidRPr="00000000" w14:paraId="000000B3">
      <w:pPr>
        <w:spacing w:after="240" w:before="240" w:lineRule="auto"/>
        <w:ind w:left="0" w:firstLine="283.46456692913375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Однако только для некоторых из них обсуждается индивидуальная тактика терапии.</w:t>
      </w:r>
    </w:p>
    <w:p w:rsidR="00000000" w:rsidDel="00000000" w:rsidP="00000000" w:rsidRDefault="00000000" w:rsidRPr="00000000" w14:paraId="000000B4">
      <w:pPr>
        <w:spacing w:after="240" w:before="240" w:lineRule="auto"/>
        <w:ind w:left="0" w:firstLine="283.46456692913375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Переход же к молекулярному фенотипированию для персонализации лечения будет зависеть от исследования биомаркеров астмы. Как перспективные рассматриваются следующие биомаркеры: эозинофилы в мокроте, белок периостин, а также оксид азота в выдыхаемом воздухе.</w:t>
      </w:r>
    </w:p>
    <w:p w:rsidR="00000000" w:rsidDel="00000000" w:rsidP="00000000" w:rsidRDefault="00000000" w:rsidRPr="00000000" w14:paraId="000000B5">
      <w:pPr>
        <w:spacing w:after="240" w:before="240" w:lineRule="auto"/>
        <w:ind w:left="0" w:firstLine="283.46456692913375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Приведённые примеры показывают, что успешная персонализация терапии произойдёт после того, как будут найдены целевые субпопуляции, для которых персонализация принесёт наибольшую пользу.</w:t>
      </w:r>
    </w:p>
    <w:p w:rsidR="00000000" w:rsidDel="00000000" w:rsidP="00000000" w:rsidRDefault="00000000" w:rsidRPr="00000000" w14:paraId="000000B6">
      <w:pPr>
        <w:ind w:firstLine="72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1.5 Препятствия практического внедрения персонализированной модели здравоохранения.</w:t>
      </w:r>
    </w:p>
    <w:p w:rsidR="00000000" w:rsidDel="00000000" w:rsidP="00000000" w:rsidRDefault="00000000" w:rsidRPr="00000000" w14:paraId="000000B7">
      <w:pPr>
        <w:ind w:right="-577.7952755905511"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</w:rPr>
        <w:drawing>
          <wp:inline distB="114300" distT="114300" distL="114300" distR="114300">
            <wp:extent cx="2864827" cy="20240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4827" cy="2024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</w:rPr>
        <w:drawing>
          <wp:inline distB="114300" distT="114300" distL="114300" distR="114300">
            <wp:extent cx="2905238" cy="1843881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238" cy="18438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Научные: главное препятствие — разрыв между практическим здравоохранением и фундаментальной биомедициной. Также сложность внедрения биомаркеров в клиническую практику: необходимо установление достоверной взаимосвязи между терапевтическим вмешательством, потенциальными биомаркерами и суррогатными конечными точками. Существует ещё одна проблема: референтные диапазоны, значения которых в норме и при патологии часто пересекаются в общей популяции пациентов. Следовательно, персонализация проходит по следующим этапам:</w:t>
      </w:r>
    </w:p>
    <w:p w:rsidR="00000000" w:rsidDel="00000000" w:rsidP="00000000" w:rsidRDefault="00000000" w:rsidRPr="00000000" w14:paraId="000000B9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определение соответствия пациента исходным критериям целесообразности персонализированного подхода; </w:t>
      </w:r>
    </w:p>
    <w:p w:rsidR="00000000" w:rsidDel="00000000" w:rsidP="00000000" w:rsidRDefault="00000000" w:rsidRPr="00000000" w14:paraId="000000BA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качественный забор необходимого биологического материала для анализа;</w:t>
      </w:r>
    </w:p>
    <w:p w:rsidR="00000000" w:rsidDel="00000000" w:rsidP="00000000" w:rsidRDefault="00000000" w:rsidRPr="00000000" w14:paraId="000000B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высокочувствительный анализ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специфичных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биомаркеров;</w:t>
      </w:r>
    </w:p>
    <w:p w:rsidR="00000000" w:rsidDel="00000000" w:rsidP="00000000" w:rsidRDefault="00000000" w:rsidRPr="00000000" w14:paraId="000000BC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последующая интерпретация полученных данных;</w:t>
      </w:r>
    </w:p>
    <w:p w:rsidR="00000000" w:rsidDel="00000000" w:rsidP="00000000" w:rsidRDefault="00000000" w:rsidRPr="00000000" w14:paraId="000000B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выбор оптимальной стратегии лечения.</w:t>
      </w:r>
    </w:p>
    <w:p w:rsidR="00000000" w:rsidDel="00000000" w:rsidP="00000000" w:rsidRDefault="00000000" w:rsidRPr="00000000" w14:paraId="000000BE">
      <w:pPr>
        <w:ind w:left="0"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Следовательно, направление персонализированной медицины разделяется на два направления: первое касается разработки методов лечения и диагностики, второе — сбора клинических образцов и формирования биобанков для накопления биомедицинских данных о наличии клинически-значимой связи между тем или иным биомаркером и риском развития заболевания.</w:t>
      </w:r>
    </w:p>
    <w:p w:rsidR="00000000" w:rsidDel="00000000" w:rsidP="00000000" w:rsidRDefault="00000000" w:rsidRPr="00000000" w14:paraId="000000B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Биоэтические: развитие второго направления связано с такими вопросами, как генетическая дискриминация, свободный доступ к генетической информации в обход лечащего врача (пример — история американской компании 23andMe®).</w:t>
      </w:r>
    </w:p>
    <w:p w:rsidR="00000000" w:rsidDel="00000000" w:rsidP="00000000" w:rsidRDefault="00000000" w:rsidRPr="00000000" w14:paraId="000000C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Экономические: ограниченность ресурсов (тенденция, констатирующая, что переход к персонализированной терапии по определению сопряжен со снижением численности таргетного контингента пациентов и соответственно повышением стоимости прямых затрат).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720" w:firstLine="0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Глава 2. Лабораторные методы персонализированной медицины.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2.1 Классические методы молекулярной диагностики [11].</w:t>
      </w:r>
    </w:p>
    <w:p w:rsidR="00000000" w:rsidDel="00000000" w:rsidP="00000000" w:rsidRDefault="00000000" w:rsidRPr="00000000" w14:paraId="000000C5">
      <w:pPr>
        <w:ind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Под молекулярной диагностикой понимается идентификация и изучения нормальных и/или патогенных генетических вариаций в ДНК и/или РНК для постановки диагнозов, классификации заболеваний, мониторинга и корректировки терапии.</w:t>
      </w:r>
    </w:p>
    <w:p w:rsidR="00000000" w:rsidDel="00000000" w:rsidP="00000000" w:rsidRDefault="00000000" w:rsidRPr="00000000" w14:paraId="000000C6">
      <w:pPr>
        <w:ind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После открытия метода ПЦР в 1986 г. на его основе появились лабораторные методы, позволяющие идентифицировать некоторые локальные вариации генов, то есть один или несколько генетических вариантов для одного гена. Т. н.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низкопроизводительные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ПЦР-методы можно разделить на две группы по охвату данных: сканирующие, которые позволяют идентифицировать любые возможные генетические варианты, и скринирующие, позволяющие идентифицировать известные генетические варианты. </w:t>
      </w:r>
    </w:p>
    <w:p w:rsidR="00000000" w:rsidDel="00000000" w:rsidP="00000000" w:rsidRDefault="00000000" w:rsidRPr="00000000" w14:paraId="000000C7">
      <w:pPr>
        <w:ind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скринирующим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методам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можно отнести:</w:t>
      </w:r>
    </w:p>
    <w:p w:rsidR="00000000" w:rsidDel="00000000" w:rsidP="00000000" w:rsidRDefault="00000000" w:rsidRPr="00000000" w14:paraId="000000C8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Метод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ARMS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Он основан на том, что из-за отсутствия комплементарности между мутировавшим с 3’-конца нуклеотидом праймера и матрицей блокируется ПЦР. Амплификация (процесс копирования участков ДНК, содержащих гены) нормального аллеля достигается за счет праймера полностью комплементарного нормальному аллелю и имеющего несовпадение по 3’-концевому нуклеотиду с мутантным аллелем. И наоборот, амплификация мутантного аллеля идет с полностью комплементарного ему праймера. Дизайн праймеров осуществляется таким образом, чтобы ПЦР продукты с нормального и мутантного аллелей могли быть различимы при электрофорезе (метод, основанный на разделении молекул ДНК по размеру. Визуализацию результатов проводят в пластине агарозного геля, который представляет собой застывшую после расплавления в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электрофорезном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буфере агарозу в концентрации 1,5-2,5% с добавлением специального красителя ДНК, например, бромистого этидия [10]).</w:t>
      </w:r>
    </w:p>
    <w:p w:rsidR="00000000" w:rsidDel="00000000" w:rsidP="00000000" w:rsidRDefault="00000000" w:rsidRPr="00000000" w14:paraId="000000C9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Методы гибридизационного анализа, позволяющие идентифицировать специфические нуклеотидные полиморфизмы в сложных смесях с использованием меченой ДНК - зонда для поиска искомой последовательности НК. Например, метод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ASO,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или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аллель-специфическая гибридизация олигонуклеотидов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основан на том, что если хотя бы один из нуклеотидов матрицы не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комплементарен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зонду, происходит дестабилизация гибридизации. При прямой гибридизации ПЦР-продукты закрепляются на фильтре или мембране. Затем меченые олигонуклеотидные зонды, комплементарные нормальному или мутантному аллелю, гибридизуются на фильтре/мембране. Поскольку в гетеродуплексах имеется нуклеотид, спаренный по ошибке, конструкция таких участков менее устойчива, следовательно, температура денатурации будет ниже, чем в соответствующих им нормальных гибридах. Подобрав температуру денатурации гетеродуплексов, можно с помощью промывки буфером нужной температуры избирательно вымыть с мембраны меченые олигонуклеотиды гетеродуплексов, сохранив олигонуклеотиды правильных гибридов в состоянии, когда они связаны с ДНК блотов (мембран). Прямой метод, как правило, используется, когда требуется протестировать большое количество образцов на несколько мутаций. Для тестирования большего количества мутаций используется обратная гибридизация (дот-блот). При этом зонды закрепляются на мембране/фильтре, а меченые ПЦР-продукты гибридизуются с блотом. </w:t>
      </w:r>
    </w:p>
    <w:p w:rsidR="00000000" w:rsidDel="00000000" w:rsidP="00000000" w:rsidRDefault="00000000" w:rsidRPr="00000000" w14:paraId="000000CA">
      <w:pPr>
        <w:ind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 сканирующим методам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можно отнести следующие:</w:t>
      </w:r>
    </w:p>
    <w:p w:rsidR="00000000" w:rsidDel="00000000" w:rsidP="00000000" w:rsidRDefault="00000000" w:rsidRPr="00000000" w14:paraId="000000CB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Метод SSCP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(Single strand conformation polymorphism или анализ одноцепочечного конформационного полиморфизма). Он основан на том, что в не денатурирующем геле (разделяемые биологические макромолекулы в процессе электрофореза остаются в исходном состоянии) миграции одноцепочечных фрагментов ДНК зависит не только от их размера, но и от последовательности. Выявлено, что при движении в геле эти фрагменты образуют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трёхмерную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структуру, соответствующую своей нуклеотидной последовательности, а значит - приобретают уникальную конформацию. Следовательно, при замене даже одного нуклеотида изменения в структуре и виде фрагмента в этом геле будут весьма сильно заметны по своей миграции в геле.</w:t>
      </w:r>
    </w:p>
    <w:p w:rsidR="00000000" w:rsidDel="00000000" w:rsidP="00000000" w:rsidRDefault="00000000" w:rsidRPr="00000000" w14:paraId="000000CC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Гетеродуплексный анализ, или HAD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основан на различной подвижности гомо- и гетеродуплексов ДНК при электрофорезе. При мутации после денатурации,  помимо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гомодуплексов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мутантных и нормальных аллелей, образуется два типа гетеродуплексов между нормальными и мутантными аллелями. И из-за неполной комплементарности гетеродуплексы двигаются в теле геля медленнее, чем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гомодуплексы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Определение генотипа осуществляется по электрофоретическому паттерну.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2.2 Методы, основанные на количественной ПЦР в реальном времени [11].</w:t>
      </w:r>
    </w:p>
    <w:p w:rsidR="00000000" w:rsidDel="00000000" w:rsidP="00000000" w:rsidRDefault="00000000" w:rsidRPr="00000000" w14:paraId="000000CF">
      <w:pPr>
        <w:ind w:left="0"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отличие от классической ПЦР, дающей представление о качественном составе и наличии или отсутствии того или иного фрагмента ДНК в исследуемом материале (это происходит из-за того, что детекция результатов происходит после окончания реакции), в количественной ПЦР используются флуоресцентные зонды, и детекция сигнала происходит в реальном времени, по мере накопления продукта. На практике применяются различные методы детекции сигнала и различные “красители” - флуорофоры. Количественная ПЦР получила широкое применение в прикладных и исследовательских областях, в том числе для идентификации генетических вариантов. В этом случае используется одна пара праймеров и два сиквенс-специфичных меченых разными флуорофорами зонда.</w:t>
      </w:r>
    </w:p>
    <w:p w:rsidR="00000000" w:rsidDel="00000000" w:rsidP="00000000" w:rsidRDefault="00000000" w:rsidRPr="00000000" w14:paraId="000000D0">
      <w:pPr>
        <w:ind w:left="0"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Другой способ идентификации основан на использовании аллель-специфичных праймеров: ПЦР проводят с мечеными праймерами, каждый из которых полностью комплементарен только одному из аллелей, при этом вариабельный нуклеотид расположен в 3’-концевой части праймера. Дискриминация аллелей достигается за счет того, что продукт, синтезированный с полностью комплементарного праймера, накапливается в ходе ПЦР быстрее, чем продукт с частично не комплементарного праймера. В случае гомозиготы продукт с одного из праймеров будет регистрироваться раньше другого, в случае гетерозиготы, продукты с обоих праймеров будут регистрироваться одновременно. </w:t>
      </w:r>
    </w:p>
    <w:p w:rsidR="00000000" w:rsidDel="00000000" w:rsidP="00000000" w:rsidRDefault="00000000" w:rsidRPr="00000000" w14:paraId="000000D1">
      <w:pPr>
        <w:ind w:left="0"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2.3 Микроматричный анализ [11].</w:t>
      </w:r>
    </w:p>
    <w:p w:rsidR="00000000" w:rsidDel="00000000" w:rsidP="00000000" w:rsidRDefault="00000000" w:rsidRPr="00000000" w14:paraId="000000D3">
      <w:pPr>
        <w:ind w:left="0"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Эта технология появилась в конце 1990-ых годов, быстро вышла из области исследований, связанных с экспрессией генов и поиска биомаркеров, и вошла в практику. </w:t>
      </w:r>
    </w:p>
    <w:p w:rsidR="00000000" w:rsidDel="00000000" w:rsidP="00000000" w:rsidRDefault="00000000" w:rsidRPr="00000000" w14:paraId="000000D4">
      <w:pPr>
        <w:ind w:left="0"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Суть технологии - в гибридизации тестируемой ДНК на матрице из олигонуклеотидов,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нанесённых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либо на силиконовую, либо на стеклянную подложку. Во время гибридизации с исследуемой ДНК связываются флуоресцентные зонды, образуя (при полной комплементарности зонда и мишени) устойчивые дуплексы. В ходе этих реакций флуоресцентный сигнал считывается с помощью специального сканера. Детекция сигнала осуществляется путем оценки соотношения флуоресценции, тестируемой и контрольной ДНК. Метод позволяет детектировать делеции (исчезновения части), инсерции (вставка другой части), замены, вариации копийности и структурные перестройки. Недостатком является детекция в одном анализе ограниченного числа мутаций, трудоемкий подбор гибридизационных зондов.  В современных модификациях (трёхмерный микроматричный анализ), сотни зондов наносятся на микро- и наносферы, а детекция сигнала осуществляется с помощью проточной флуориметрии или флуоресцентного микроскопа. Двухмерный микроматричный анализ чаще используется для выявления и исследования биомаркеров, трёхмерный - для диагностики. </w:t>
      </w:r>
    </w:p>
    <w:p w:rsidR="00000000" w:rsidDel="00000000" w:rsidP="00000000" w:rsidRDefault="00000000" w:rsidRPr="00000000" w14:paraId="000000D5">
      <w:pPr>
        <w:ind w:left="0"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2.4 Однонуклеотидное удлинение праймеров [11].</w:t>
      </w:r>
    </w:p>
    <w:p w:rsidR="00000000" w:rsidDel="00000000" w:rsidP="00000000" w:rsidRDefault="00000000" w:rsidRPr="00000000" w14:paraId="000000D7">
      <w:pPr>
        <w:ind w:left="0"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Метод основан на гибридизации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специфичного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праймера перед исследуемым нуклеотидом. ДНК-полимераза встраивает флуоресцентно меченый дидезоксинуклеотид, который останавливает реакцию и приводит к образованию меченого праймера. Мультиплексирование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Мультиплексная ПЦР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метод, с помощью которого различные фрагменты ДНК считываются и используются для обнаружения крупных мутаций в зависимости от их трехмерной формы [16])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достигается за счет использования различных меток в одной реакции. А также за счет разделения праймеров по размеру с использованием гель электрофореза, капиллярного электрофореза или с использованием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масс-спектрометрии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D8">
      <w:pPr>
        <w:ind w:left="0"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Метод получил распространение для исследования точковых мутаций, а также для изучения сообществ микробов и метилирования ДНК. </w:t>
      </w:r>
    </w:p>
    <w:p w:rsidR="00000000" w:rsidDel="00000000" w:rsidP="00000000" w:rsidRDefault="00000000" w:rsidRPr="00000000" w14:paraId="000000D9">
      <w:pPr>
        <w:ind w:left="0"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2.5 Капиллярное секвенирование (секвенирование по Сенгеру) [11, 13].</w:t>
      </w:r>
    </w:p>
    <w:p w:rsidR="00000000" w:rsidDel="00000000" w:rsidP="00000000" w:rsidRDefault="00000000" w:rsidRPr="00000000" w14:paraId="000000DB">
      <w:pPr>
        <w:ind w:left="0" w:firstLine="283.46456692913375"/>
        <w:rPr>
          <w:rFonts w:ascii="Times New Roman" w:cs="Times New Roman" w:eastAsia="Times New Roman" w:hAnsi="Times New Roman"/>
          <w:color w:val="1a1a1a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ДНК клонируется, делится на 4 части, помещается в активную среду с необходимыми для синтеза комплементарной цепи ДНК-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полимеразами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нуклеотидами, праймерами и одним нуклеотидом (разным для каждой части)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дидезоксинуклеотидтрифосфатом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ддНТФ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), способным образовать водородную связь, но неспособным продолжить цепь.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6"/>
          <w:szCs w:val="26"/>
          <w:rtl w:val="0"/>
        </w:rPr>
        <w:t xml:space="preserve">В результате в каждой части синтезируется большое число копий префиксов исследуемого участка ДНК, которые имеют разную длину, но всегда заканчиваются на одну и ту же букву – в зависимости от того,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6"/>
          <w:szCs w:val="26"/>
          <w:rtl w:val="0"/>
        </w:rPr>
        <w:t xml:space="preserve">когда в процесс клонирования попадёт ддНТФ, который остановит процесс синтеза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6"/>
          <w:szCs w:val="26"/>
          <w:rtl w:val="0"/>
        </w:rPr>
        <w:t xml:space="preserve"> на себе.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0" w:firstLine="283.46456692913375"/>
        <w:rPr>
          <w:rFonts w:ascii="Times New Roman" w:cs="Times New Roman" w:eastAsia="Times New Roman" w:hAnsi="Times New Roman"/>
          <w:color w:val="1a1a1a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6"/>
          <w:szCs w:val="26"/>
          <w:rtl w:val="0"/>
        </w:rPr>
        <w:t xml:space="preserve">Например, если взять секвенирование по тимину. Пример исследуемого образца: ААТТГЦГЦЦТАТЦГГГГАГТТ. В итоге получилась бы смесь из префиксов разной длины по встречаемости этого нуклеотида:</w:t>
      </w:r>
    </w:p>
    <w:p w:rsidR="00000000" w:rsidDel="00000000" w:rsidP="00000000" w:rsidRDefault="00000000" w:rsidRPr="00000000" w14:paraId="000000DD">
      <w:pPr>
        <w:ind w:left="0" w:firstLine="283.46456692913375"/>
        <w:rPr>
          <w:rFonts w:ascii="Times New Roman" w:cs="Times New Roman" w:eastAsia="Times New Roman" w:hAnsi="Times New Roman"/>
          <w:color w:val="1a1a1a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6"/>
          <w:szCs w:val="26"/>
          <w:rtl w:val="0"/>
        </w:rPr>
        <w:t xml:space="preserve">ААТ</w:t>
      </w:r>
    </w:p>
    <w:p w:rsidR="00000000" w:rsidDel="00000000" w:rsidP="00000000" w:rsidRDefault="00000000" w:rsidRPr="00000000" w14:paraId="000000DE">
      <w:pPr>
        <w:ind w:left="0" w:firstLine="283.46456692913375"/>
        <w:rPr>
          <w:rFonts w:ascii="Times New Roman" w:cs="Times New Roman" w:eastAsia="Times New Roman" w:hAnsi="Times New Roman"/>
          <w:color w:val="1a1a1a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6"/>
          <w:szCs w:val="26"/>
          <w:rtl w:val="0"/>
        </w:rPr>
        <w:t xml:space="preserve">ААТТ</w:t>
      </w:r>
    </w:p>
    <w:p w:rsidR="00000000" w:rsidDel="00000000" w:rsidP="00000000" w:rsidRDefault="00000000" w:rsidRPr="00000000" w14:paraId="000000DF">
      <w:pPr>
        <w:ind w:firstLine="283.46456692913375"/>
        <w:rPr>
          <w:rFonts w:ascii="Times New Roman" w:cs="Times New Roman" w:eastAsia="Times New Roman" w:hAnsi="Times New Roman"/>
          <w:color w:val="1a1a1a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6"/>
          <w:szCs w:val="26"/>
          <w:rtl w:val="0"/>
        </w:rPr>
        <w:t xml:space="preserve">ААТТГЦГЦЦТ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firstLine="283.46456692913375"/>
        <w:rPr>
          <w:rFonts w:ascii="Times New Roman" w:cs="Times New Roman" w:eastAsia="Times New Roman" w:hAnsi="Times New Roman"/>
          <w:color w:val="1a1a1a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6"/>
          <w:szCs w:val="26"/>
          <w:rtl w:val="0"/>
        </w:rPr>
        <w:t xml:space="preserve">ААТТГЦГЦЦТАТ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firstLine="283.46456692913375"/>
        <w:rPr>
          <w:rFonts w:ascii="Times New Roman" w:cs="Times New Roman" w:eastAsia="Times New Roman" w:hAnsi="Times New Roman"/>
          <w:color w:val="1a1a1a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6"/>
          <w:szCs w:val="26"/>
          <w:rtl w:val="0"/>
        </w:rPr>
        <w:t xml:space="preserve">ААТТГЦГЦЦТАТЦГГГГАГТ</w:t>
      </w:r>
    </w:p>
    <w:p w:rsidR="00000000" w:rsidDel="00000000" w:rsidP="00000000" w:rsidRDefault="00000000" w:rsidRPr="00000000" w14:paraId="000000E2">
      <w:pPr>
        <w:ind w:firstLine="283.46456692913375"/>
        <w:rPr>
          <w:rFonts w:ascii="Times New Roman" w:cs="Times New Roman" w:eastAsia="Times New Roman" w:hAnsi="Times New Roman"/>
          <w:color w:val="1a1a1a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6"/>
          <w:szCs w:val="26"/>
          <w:rtl w:val="0"/>
        </w:rPr>
        <w:t xml:space="preserve">ААТТГЦГЦЦТАТЦГГГГАГТТ</w:t>
      </w:r>
    </w:p>
    <w:p w:rsidR="00000000" w:rsidDel="00000000" w:rsidP="00000000" w:rsidRDefault="00000000" w:rsidRPr="00000000" w14:paraId="000000E3">
      <w:pPr>
        <w:ind w:firstLine="283.46456692913375"/>
        <w:rPr>
          <w:rFonts w:ascii="Times New Roman" w:cs="Times New Roman" w:eastAsia="Times New Roman" w:hAnsi="Times New Roman"/>
          <w:color w:val="1a1a1a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6"/>
          <w:szCs w:val="26"/>
          <w:rtl w:val="0"/>
        </w:rPr>
        <w:t xml:space="preserve">Эти варианты разделяются с помощью электрофореза. Считывается последовательность, комплементарная исходной матрице, а количество оснований в ней считается определением массы каждого префикса. В этом и состоит минус такого метода: молекулу массой 700 от молекулы массой 701 отличить труднее, чем молекулу массой 5 - от молекулы массой 6. Статистически, заметно падать качество начинает после 700-800 нуклеотидов, когда в ходе секвенирования по Сенгеру получаются участки (“риды”) длиной около 1000 нуклеотидов. Другой минус заключается в трудности распознания длинного участка цепи из одинаковых нуклеотидов (“...ААААААА…”), так как в таком случае все префиксы с таким нуклеотидом попадут в одну пробирку, некоторые могут не встретиться или наоборот слиться друг с другом и т. д.</w:t>
      </w:r>
    </w:p>
    <w:p w:rsidR="00000000" w:rsidDel="00000000" w:rsidP="00000000" w:rsidRDefault="00000000" w:rsidRPr="00000000" w14:paraId="000000E4">
      <w:pPr>
        <w:ind w:firstLine="283.46456692913375"/>
        <w:rPr>
          <w:rFonts w:ascii="Times New Roman" w:cs="Times New Roman" w:eastAsia="Times New Roman" w:hAnsi="Times New Roman"/>
          <w:color w:val="1a1a1a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a1a1a"/>
          <w:sz w:val="26"/>
          <w:szCs w:val="26"/>
          <w:rtl w:val="0"/>
        </w:rPr>
        <w:t xml:space="preserve">Изначально, позиция каждого нуклеотида выявлялась с помощью радиоактивно-меченого праймера методом авторадиографии (основан на выявлении локализации в тканях введенных в них веществ, меченных радиоактивными изотопами. Срезы материала, содержащего меченое вещество, в темноте покрывают фотоэмульсией, которая после определенной экспозиции оказывается засвеченной в участках расположения радиоактивного изотопа [14]). В современных автоматических секвенаторах используются флуоресцентно меченые дидезоксинуклеотиды, а результат секвенирования представляет собой четырёхцветный график,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6"/>
          <w:szCs w:val="26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6"/>
          <w:szCs w:val="26"/>
          <w:rtl w:val="0"/>
        </w:rPr>
        <w:t xml:space="preserve">котором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6"/>
          <w:szCs w:val="26"/>
          <w:rtl w:val="0"/>
        </w:rPr>
        <w:t xml:space="preserve"> пик каждого цвета соответствует определенному нуклеотиду.</w:t>
      </w:r>
    </w:p>
    <w:p w:rsidR="00000000" w:rsidDel="00000000" w:rsidP="00000000" w:rsidRDefault="00000000" w:rsidRPr="00000000" w14:paraId="000000E5">
      <w:pPr>
        <w:ind w:firstLine="283.46456692913375"/>
        <w:rPr>
          <w:rFonts w:ascii="Times New Roman" w:cs="Times New Roman" w:eastAsia="Times New Roman" w:hAnsi="Times New Roman"/>
          <w:color w:val="1a1a1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2.6 Технологии МПС [11, 12].</w:t>
      </w:r>
    </w:p>
    <w:p w:rsidR="00000000" w:rsidDel="00000000" w:rsidP="00000000" w:rsidRDefault="00000000" w:rsidRPr="00000000" w14:paraId="000000E7">
      <w:pPr>
        <w:ind w:left="0"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Относятся к высокопроизводительным методам идентификации ДНК,  основаны на многократном прочтении огромного количества ДНК-клонов (прочтений). В основе детекции сигнала могут лежать различные методы: пиросеквенирование, реакция обрыва цепи с флуоресцентными красителями и т. д. Причиной высокой точности анализа служит многократное прочтение одного и того же фрагмента ДНК. Преимуществом также является возможность тестирования образцов от нескольких пациентов в одной реакции за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счёт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технологии молекулярного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баркодирования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образцов (“окрашивание”, присвоение уникального штрих-кода каждой стартовой молекуле для различения их после амплификации. Баркод можно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лигировать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на ДНК на одном из первых этапов, вставить в праймер для ПЦР, или по технологии template switch, когда с РНК читается комплементарная ДНК, а ревертаза (фермент, катализирующий синтез ДНК на матричной РНК в процессе обратной транскрипции) “перескакивает” на подложку, содержащую баркод, и продолжает синтез ДНК со вставкой этого баркода [15]). Несмотря на преимущества, метод в основном остаётся исследовательским и мало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внедрён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 клиническую практику из-за отсутствия стандартов исследования образцов, обработки и хранения данных, методик контроля качества и показаний к назначению исследования. Также анализ МПС-данных очень сложен, не имеет выверенных стандартов, и его сложно подогнать под получение воспроизводимых данных, т. к. при разных методах анализа из одних и тех же сырых данных получаются разные результаты. Но даже после получения результатов возникает проблема их интерпретации.</w:t>
      </w:r>
    </w:p>
    <w:p w:rsidR="00000000" w:rsidDel="00000000" w:rsidP="00000000" w:rsidRDefault="00000000" w:rsidRPr="00000000" w14:paraId="000000E8">
      <w:pPr>
        <w:ind w:left="0"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МПС-секвенирование включает три основных этапа: приготовление ДНК-библиотек, пробоподготовку и секвенирование. Сегодня на рынке доминируют две технологии МПС, Illumina и Ion Torrent, принципиальными отличиями которых являются методика пробоподготовки и методика детекции сигнала при секвенировании за счет синтеза. Однако первой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широкодоступной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технологией секвенирования нового поколения стала платформа Roche 454 Life Sciences. </w:t>
      </w:r>
    </w:p>
    <w:p w:rsidR="00000000" w:rsidDel="00000000" w:rsidP="00000000" w:rsidRDefault="00000000" w:rsidRPr="00000000" w14:paraId="000000E9">
      <w:pPr>
        <w:ind w:left="0" w:firstLine="283.46456692913375"/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Roche 454 Life Sciences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использует метод п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иросеквенирования, основанный на хемилюминесцентных сигналах, которые подают специально модифицированные нуклеотиды, когда соединяются с комплементарным нуклеотидом в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прочитываемой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 нити ДНК.</w:t>
      </w:r>
    </w:p>
    <w:p w:rsidR="00000000" w:rsidDel="00000000" w:rsidP="00000000" w:rsidRDefault="00000000" w:rsidRPr="00000000" w14:paraId="000000EA">
      <w:pPr>
        <w:ind w:left="0" w:firstLine="283.46456692913375"/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В случае таргетного секвенирования, библиотека ДНК состоит из считанных одноцепочечных фрагментов ДНК, на наличие которых проверяется исходный образец.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u w:val="single"/>
          <w:rtl w:val="0"/>
        </w:rPr>
        <w:t xml:space="preserve">Ion Torrent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 детектирует соединения (ионы), которые выделяются при присоединении нового нуклеотида к нити ДНК. Это позволяет радикально сократить время и стоимость получаемых ридов, хотя процент ошибок становится больше, и больше становится ошибок в фрагментах из повторяющейся одной буквы. </w:t>
      </w:r>
    </w:p>
    <w:p w:rsidR="00000000" w:rsidDel="00000000" w:rsidP="00000000" w:rsidRDefault="00000000" w:rsidRPr="00000000" w14:paraId="000000EB">
      <w:pPr>
        <w:ind w:left="0" w:firstLine="283.46456692913375"/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Выделяют четыре основных этапа обработки и анализа МПС-данных: прочтение последовательности, выравнивание прочтений, идентификация вариантов, и интерпретация результатов.</w:t>
      </w:r>
    </w:p>
    <w:p w:rsidR="00000000" w:rsidDel="00000000" w:rsidP="00000000" w:rsidRDefault="00000000" w:rsidRPr="00000000" w14:paraId="000000EC">
      <w:pPr>
        <w:ind w:left="0"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Использование МПС-технологий для идентификации клинически значимых генетических вариантов в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многогенных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панелях обеспечивает высокую чувствительность тест-системы при относительно невысокой стоимости. Однако детекция множества генетических вариантов в одном исследовании требует автоматизированного подхода к анализу и интерпретации данных.</w:t>
      </w:r>
    </w:p>
    <w:p w:rsidR="00000000" w:rsidDel="00000000" w:rsidP="00000000" w:rsidRDefault="00000000" w:rsidRPr="00000000" w14:paraId="000000ED">
      <w:pPr>
        <w:ind w:left="0"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Важно отметить, что при интерпретации геномных данных не рекомендуется использовать какой-либо один источник, при формировании заключения о клинической значимости того или иного варианта, следует руководствоваться всей доступной информацией о генетическом варианте, а также учитывать дополнительную информацию, такую как цель тестирования, фенотип пациента, этнос, семейную историю, тип наследования заболевания и так далее.</w:t>
      </w:r>
    </w:p>
    <w:p w:rsidR="00000000" w:rsidDel="00000000" w:rsidP="00000000" w:rsidRDefault="00000000" w:rsidRPr="00000000" w14:paraId="000000EE">
      <w:pPr>
        <w:jc w:val="righ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Выводы: предпринятые шаги и необходимые для дальнейшего развития меры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[17, 18, 19]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EF">
      <w:pPr>
        <w:ind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0"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Сегодня во многих странах приняты и реализуются планы и стратегии по внедрению персонализированного подхода к лечению</w:t>
      </w:r>
    </w:p>
    <w:p w:rsidR="00000000" w:rsidDel="00000000" w:rsidP="00000000" w:rsidRDefault="00000000" w:rsidRPr="00000000" w14:paraId="000000F1">
      <w:pPr>
        <w:ind w:left="0"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Персонализированная медицина включает в себя несколько стратегических направлений инноваций в медицине, таких как:</w:t>
      </w:r>
    </w:p>
    <w:p w:rsidR="00000000" w:rsidDel="00000000" w:rsidP="00000000" w:rsidRDefault="00000000" w:rsidRPr="00000000" w14:paraId="000000F2">
      <w:pPr>
        <w:numPr>
          <w:ilvl w:val="0"/>
          <w:numId w:val="9"/>
        </w:numPr>
        <w:ind w:left="566.9291338582675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Персонализированная диагностика, включая науку о биомаркерах.</w:t>
      </w:r>
    </w:p>
    <w:p w:rsidR="00000000" w:rsidDel="00000000" w:rsidP="00000000" w:rsidRDefault="00000000" w:rsidRPr="00000000" w14:paraId="000000F3">
      <w:pPr>
        <w:numPr>
          <w:ilvl w:val="0"/>
          <w:numId w:val="9"/>
        </w:numPr>
        <w:ind w:left="566.9291338582675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Персонализированная профилактика.</w:t>
      </w:r>
    </w:p>
    <w:p w:rsidR="00000000" w:rsidDel="00000000" w:rsidP="00000000" w:rsidRDefault="00000000" w:rsidRPr="00000000" w14:paraId="000000F4">
      <w:pPr>
        <w:numPr>
          <w:ilvl w:val="0"/>
          <w:numId w:val="9"/>
        </w:numPr>
        <w:ind w:left="566.9291338582675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Нанотехнологии и наноустройства.</w:t>
      </w:r>
    </w:p>
    <w:p w:rsidR="00000000" w:rsidDel="00000000" w:rsidP="00000000" w:rsidRDefault="00000000" w:rsidRPr="00000000" w14:paraId="000000F5">
      <w:pPr>
        <w:numPr>
          <w:ilvl w:val="0"/>
          <w:numId w:val="9"/>
        </w:numPr>
        <w:ind w:left="566.9291338582675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Персонализированные информационные технологи в медицине. Вычислительные инструменты и трансляционная биоинформатика. Искусственный интеллект.</w:t>
      </w:r>
    </w:p>
    <w:p w:rsidR="00000000" w:rsidDel="00000000" w:rsidP="00000000" w:rsidRDefault="00000000" w:rsidRPr="00000000" w14:paraId="000000F6">
      <w:pPr>
        <w:numPr>
          <w:ilvl w:val="0"/>
          <w:numId w:val="9"/>
        </w:numPr>
        <w:ind w:left="566.9291338582675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Персонализированная фармакология, в том числе персонализированная биологическая терапия.</w:t>
      </w:r>
    </w:p>
    <w:p w:rsidR="00000000" w:rsidDel="00000000" w:rsidP="00000000" w:rsidRDefault="00000000" w:rsidRPr="00000000" w14:paraId="000000F7">
      <w:pPr>
        <w:numPr>
          <w:ilvl w:val="0"/>
          <w:numId w:val="9"/>
        </w:numPr>
        <w:ind w:left="566.9291338582675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Персонализированные клеточные продукты и генные препараты.</w:t>
      </w:r>
    </w:p>
    <w:p w:rsidR="00000000" w:rsidDel="00000000" w:rsidP="00000000" w:rsidRDefault="00000000" w:rsidRPr="00000000" w14:paraId="000000F8">
      <w:pPr>
        <w:ind w:left="0" w:firstLine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Важную роль в развитии этого направления в Российской Федерации сыграли работы академика РАН Е. В. Шляхто, подчеркивающие, что огромные достижения медицинской и биологической науки в настоящее время не находят должного применения в практике врача, и это проблема мировой медицины.</w:t>
      </w:r>
    </w:p>
    <w:p w:rsidR="00000000" w:rsidDel="00000000" w:rsidP="00000000" w:rsidRDefault="00000000" w:rsidRPr="00000000" w14:paraId="000000F9">
      <w:pPr>
        <w:ind w:left="0" w:firstLine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Преодолению расстояния между передовыми достижениями науки и клинической практикой может способствовать т. н. трансляционная медицина - четко сформулированная клиническая задача, решаемая в контакте специалистами фундаментальной биологии, физики и химии и клиницистами, с минимальными затратами и максимально быстро. Е. В. Шляхто была предложена форма кластерного объединения специалистов фундаментальной медицины и клиницистов с приобщением бизнеса, и в Центре Алмазова начато в 2017 году издание журнала «Трансляционная медицина». </w:t>
      </w:r>
    </w:p>
    <w:p w:rsidR="00000000" w:rsidDel="00000000" w:rsidP="00000000" w:rsidRDefault="00000000" w:rsidRPr="00000000" w14:paraId="000000FA">
      <w:pPr>
        <w:ind w:left="0" w:firstLine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Одним из важнейших условий для развития ПМ является валидация и внедрение новых биомаркеров. Процесс создания нового биомаркера включает следующие направления, которые активно развиваются в настоящее время и будут совершенствоваться в будущем: </w:t>
      </w:r>
    </w:p>
    <w:p w:rsidR="00000000" w:rsidDel="00000000" w:rsidP="00000000" w:rsidRDefault="00000000" w:rsidRPr="00000000" w14:paraId="000000FB">
      <w:pPr>
        <w:numPr>
          <w:ilvl w:val="0"/>
          <w:numId w:val="4"/>
        </w:numPr>
        <w:ind w:left="566.9291338582675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Обнаружение маркера и его валидация.</w:t>
      </w:r>
    </w:p>
    <w:p w:rsidR="00000000" w:rsidDel="00000000" w:rsidP="00000000" w:rsidRDefault="00000000" w:rsidRPr="00000000" w14:paraId="000000FC">
      <w:pPr>
        <w:numPr>
          <w:ilvl w:val="0"/>
          <w:numId w:val="4"/>
        </w:numPr>
        <w:ind w:left="566.9291338582675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Оценка предиктивного потенциала и сопоставление с другими маркерами.</w:t>
      </w:r>
    </w:p>
    <w:p w:rsidR="00000000" w:rsidDel="00000000" w:rsidP="00000000" w:rsidRDefault="00000000" w:rsidRPr="00000000" w14:paraId="000000FD">
      <w:pPr>
        <w:numPr>
          <w:ilvl w:val="0"/>
          <w:numId w:val="4"/>
        </w:numPr>
        <w:ind w:left="566.9291338582675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Преклинические и клинические исследования.</w:t>
      </w:r>
    </w:p>
    <w:p w:rsidR="00000000" w:rsidDel="00000000" w:rsidP="00000000" w:rsidRDefault="00000000" w:rsidRPr="00000000" w14:paraId="000000FE">
      <w:pPr>
        <w:numPr>
          <w:ilvl w:val="0"/>
          <w:numId w:val="4"/>
        </w:numPr>
        <w:ind w:left="566.9291338582675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Животные модели.</w:t>
      </w:r>
    </w:p>
    <w:p w:rsidR="00000000" w:rsidDel="00000000" w:rsidP="00000000" w:rsidRDefault="00000000" w:rsidRPr="00000000" w14:paraId="000000FF">
      <w:pPr>
        <w:numPr>
          <w:ilvl w:val="0"/>
          <w:numId w:val="4"/>
        </w:numPr>
        <w:ind w:left="566.9291338582675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Биоинформатическая обработка генетических данных.</w:t>
      </w:r>
    </w:p>
    <w:p w:rsidR="00000000" w:rsidDel="00000000" w:rsidP="00000000" w:rsidRDefault="00000000" w:rsidRPr="00000000" w14:paraId="00000100">
      <w:pPr>
        <w:numPr>
          <w:ilvl w:val="0"/>
          <w:numId w:val="4"/>
        </w:numPr>
        <w:ind w:left="566.9291338582675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Подходы на основе принципов системной биологии.</w:t>
      </w:r>
    </w:p>
    <w:p w:rsidR="00000000" w:rsidDel="00000000" w:rsidP="00000000" w:rsidRDefault="00000000" w:rsidRPr="00000000" w14:paraId="00000101">
      <w:pPr>
        <w:ind w:left="0" w:firstLine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учетом увеличивающегося количества открытых обезличенных баз данных с огромным массивом -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омиксных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данных о пациентах, подспорьем в разработке и внедрении новых биомаркеров послужит создание соответствующей “экосистемы” вокруг биомаркеров, состоящей из научных и академических центров и лабораторий, фармацевтических и IT-компаний. При этом важнейшей частью всё чаще становятся именно академические центры, т. к. они располагают инфраструктурой и технологиями для проведения исследований по разработке и внедрению биомаркеров. Подобные объединения научно-исследовательских групп могут формироваться вокруг конкретной проблемы. Примером может служить многоцентровая исследовательская инициатива United Europeans по развитию фармакогеномики при лечении рассеянного склероза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UEPHA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*MS), представляющая собой объединение 11 исследовательских групп из 5 стран (Испания, Германия, Франция, Нидерланды, Россия), для изучения биомаркеров эффективности терапии рассеянного склероза [20]. Европейским союзом было выделено финансирование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UEPHA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*MS в размере 2,3 млн евро в рамках 7-й рамочной программы поддержки и поощрения исследований в Европейском исследовательском пространстве. Координатором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UEPHA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*MS выступил Университет Страны Басков, Испания. </w:t>
      </w:r>
    </w:p>
    <w:p w:rsidR="00000000" w:rsidDel="00000000" w:rsidP="00000000" w:rsidRDefault="00000000" w:rsidRPr="00000000" w14:paraId="00000102">
      <w:pPr>
        <w:jc w:val="righ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Заключение.</w:t>
      </w:r>
    </w:p>
    <w:p w:rsidR="00000000" w:rsidDel="00000000" w:rsidP="00000000" w:rsidRDefault="00000000" w:rsidRPr="00000000" w14:paraId="00000103">
      <w:pPr>
        <w:ind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данной работе были рассмотрены предпосылки, история становления парадигмы персонализированной медицины, перспективные направления и проекты в этой области. Также были описаны клинические аспекты применения этой стратегии, доказана необходимость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её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введения, рассмотрены лабораторные методы прочтения ДНК и трудности, возникающие в ходе введения персонализированного подхода в лечении в клиническую практику.</w:t>
      </w:r>
    </w:p>
    <w:p w:rsidR="00000000" w:rsidDel="00000000" w:rsidP="00000000" w:rsidRDefault="00000000" w:rsidRPr="00000000" w14:paraId="00000104">
      <w:pPr>
        <w:ind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Хочу поблагодарить Свешникову Анастасию Никитичну за консультирование работы, фактологическую проверку и помощь в поиске источников, а также Ноздрачеву Анну Николаевну за дополнительные объяснения структуры и норм реферата.</w:t>
      </w:r>
    </w:p>
    <w:p w:rsidR="00000000" w:rsidDel="00000000" w:rsidP="00000000" w:rsidRDefault="00000000" w:rsidRPr="00000000" w14:paraId="00000105">
      <w:pPr>
        <w:ind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Список литературы:</w:t>
      </w:r>
    </w:p>
    <w:p w:rsidR="00000000" w:rsidDel="00000000" w:rsidP="00000000" w:rsidRDefault="00000000" w:rsidRPr="00000000" w14:paraId="00000107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Интернет-ресурсы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Дадали Е. Л., Гинтер Е. К., Поляков А. В. Генетическая гетерогенность и некоторые другие проблемы, осложняющие диагностику наследственных болезней нервной системы [Электронный ресурс]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 Дадали Е. Л., Гинтер Е. К., Поляков А. В. Научная электронная библиотека «КиберЛенинка» - Ссылка для доступа: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cyberleninka.ru/article/n/geneticheskaya-geterogennost-i-nekotorye-drugie-problemy-oslozhnyayuschie-diagnostiku-nasledstvennyh-bolezney-nervnoy-sistemy#:~:text=Под%20генетической%20гетерогенностью%20наследственных%20болезней,клиническим%20проявлениям%20заболевания%20(аллельная%20гетерогенность)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- Петров В. И., Шишиморов И. Н., Магницкая О. В.,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Толкачёв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Б. Е. Персонализированная медицина: эволюция методологии и проблемы практического внедрения [Электронный ресурс]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 Петров В. И., Шишиморов И. Н., Магницкая О. В.,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Толкачёв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Б. Е. Научная электронная библиотека «КиберЛенинка» - Ссылка для доступа: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https://cyberleninka.ru/article/n/personalizirovannaya-meditsina-evolyutsiya-metodologii-i-problemy-prakticheskogo-vnedreniya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- Пузырев В. П. МЕДИЦИНСКАЯ ПАТОГЕНЕТИКА [Электронный ресурс] / Пузырев В. П.  Вавиловский журнал генетики и селекции, 2014, Том 18, № 1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http://medgenetics.ru/UserFile/File/Doc/Publications/2014/Puzyrev-2014-Medgen.pdf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- Определение персонализированной медицины [Электронный ресурс]/ официальный сайт коалиции персонализированной медицины - ссылка для доступа: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https://personalizedmedicinecoalition.org/Home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- National Research Council (US) Committee on a framework for developing a new taxonomy of disease. Toward precision medicine: building a knowledge network for biomedical research and a new taxonomy of disease. Washington (DC): National Academies Press (US); 2011. PMID: 22536618.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- Definition of personalised medicine - Dictionary of Canser Terms NCI [Электронный ресурс]/ официальный сайт национального института рака США - Cсылка для доступа: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https://www.cancer.gov/publications/dictionaries/cancer-terms/def/personalized-medicine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-Шилов А.М., Мельник М.В., Святов И.С. Антикоагулянты непрямого действия в терапевтической практике лечения и профилактики венозного тромбоэмболизма. РМЖ. 2006;10:747 [Электронный ресурс]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 Шилов А.М., Мельник М.В., Святов И.С. - Ссылка для доступа: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https://www.rmj.ru/articles/obshchie-stati/Antikoagulyanty_nepryamogo_deystviya_v_terapevticheskoy_praktike_lecheniya_i_profilaktiki_venoznogo_tromboembolizma/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- Джумабаева С. Э., Джумабаев Э. С., Усманова У. И., Насирдинов М. А. Фенотипы бронхиальной астмы [Электронный ресурс]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 Джумабаева С. Э., Джумабаев Э. С., Усманова У. И., Насирдинов М. А.  Научная электронная библиотека «КиберЛенинка» - Ссылка для доступа: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https://cyberleninka.ru/article/n/fenotipy-bronhialnoy-astmy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- Атопическая бронхиальная астма - клинические рекомендации  [Электронный ресурс]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 Российская ассоциация аллергологов и клинических иммунологов (РААКИ) - Ссылка для доступа: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https://medi.ru/docplus/13451.pdf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- ООО «ДНК-ТЕХНОЛОГИЯ», МЕТОДИЧЕСКОЕ ПОСОБИЕ ОСНОВЫ ПОЛИМЕРАЗНОЙ ЦЕПНОЙ РЕАКЦИИ (ПЦР) [Электронный ресурс]/ ООО «ДНК-ТЕХНОЛОГИЯ» - Ссылка для доступа: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https://dna-technology.ru/sites/default/files/pcr_a5_083-4.pdf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 - Симакова Т. С. РАЗРАБОТКА И ВАЛИДАЦИЯ ТЕСТ-СИСТЕМЫ ДЛЯ МОЛЕКУЛЯРНО-ГЕНЕТИЧЕСКОЙ ДИАГНОСТИКИ ЧАСТЫХ НАСЛЕДСТВЕННЫХ ЗАБОЛЕВАНИЙ МЕТОДОМ ВЫСОКОПРОИЗВОДИТЕЛЬНОГО ГЕНОМНОГО АНАЛИЗА  [Электронный ресурс]/ Симакова Т. С. - Ссылка для доступа:  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https://med-gen.ru/docs/Disser_Simakova%20T.pdf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 - Сафонов Д. Г. Технологии массового параллельного секвенирования в неврологии  [Электронный ресурс]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/Сафонов Д. Г., Абрамычева Н. Ю., Алексеев Я. И., Нужный Е. П., Федотова Е. Ю., Иллариошкин С. Н. Научная электронная библиотека «КиберЛенинка» - Ссылка для доступа: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https://cyberleninka.ru/article/n/tehnologii-massovogo-parallelnogo-sekvenirovaniya-v-nevrologii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color w:val="1a1a1a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 - Николенко С.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rtl w:val="0"/>
        </w:rPr>
        <w:t xml:space="preserve">Секвенирование геномов для «чайников»</w:t>
      </w:r>
    </w:p>
    <w:p w:rsidR="00000000" w:rsidDel="00000000" w:rsidP="00000000" w:rsidRDefault="00000000" w:rsidRPr="00000000" w14:paraId="0000011C">
      <w:pPr>
        <w:keepNext w:val="0"/>
        <w:keepLines w:val="0"/>
        <w:spacing w:after="220" w:before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Геномика: постановка задачи и методы секвенирования [Электронный ресурс]/ Николенко С. научно-популярный журнал ПостНаука - Ссылка для доступа: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https://postnauka.ru/longreads/468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br w:type="textWrapping"/>
        <w:t xml:space="preserve">14. - В. Л. Быков. Цитология и общая гистология (методическое пособие) [Электронный ресурс]/ В. Л. Быков - Ссылка для доступа: </w:t>
      </w:r>
      <w:hyperlink r:id="rId2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Bykov-_gistologia_obschaya-1.pdf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15.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Д. Чудаков. Молекулярное баркодирование, анализ репертуаров Т-клеточных рецепторов и антител (5:33-8:38) [Электронный ресурс]/ Д. Чудаков - Ссылка для доступа: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https://youtu.be/88LH7Ge0lRo?t=339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br w:type="textWrapping"/>
        <w:t xml:space="preserve">16. - </w:t>
      </w:r>
      <w:r w:rsidDel="00000000" w:rsidR="00000000" w:rsidRPr="00000000">
        <w:rPr>
          <w:rFonts w:ascii="Times New Roman" w:cs="Times New Roman" w:eastAsia="Times New Roman" w:hAnsi="Times New Roman"/>
          <w:color w:val="2e2e2e"/>
          <w:rtl w:val="0"/>
        </w:rPr>
        <w:t xml:space="preserve">James B. Mahony, Max A. </w:t>
      </w:r>
      <w:r w:rsidDel="00000000" w:rsidR="00000000" w:rsidRPr="00000000">
        <w:rPr>
          <w:rFonts w:ascii="Times New Roman" w:cs="Times New Roman" w:eastAsia="Times New Roman" w:hAnsi="Times New Roman"/>
          <w:color w:val="2e2e2e"/>
          <w:rtl w:val="0"/>
        </w:rPr>
        <w:t xml:space="preserve">Chernesky</w:t>
      </w:r>
      <w:r w:rsidDel="00000000" w:rsidR="00000000" w:rsidRPr="00000000">
        <w:rPr>
          <w:rFonts w:ascii="Times New Roman" w:cs="Times New Roman" w:eastAsia="Times New Roman" w:hAnsi="Times New Roman"/>
          <w:color w:val="2e2e2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Multiplex Polymerase Chain Reaction [Электронный ресурс]/ </w:t>
      </w:r>
      <w:r w:rsidDel="00000000" w:rsidR="00000000" w:rsidRPr="00000000">
        <w:rPr>
          <w:rFonts w:ascii="Times New Roman" w:cs="Times New Roman" w:eastAsia="Times New Roman" w:hAnsi="Times New Roman"/>
          <w:color w:val="2e2e2e"/>
          <w:rtl w:val="0"/>
        </w:rPr>
        <w:t xml:space="preserve">James B. Mahony, Max A. </w:t>
      </w:r>
      <w:r w:rsidDel="00000000" w:rsidR="00000000" w:rsidRPr="00000000">
        <w:rPr>
          <w:rFonts w:ascii="Times New Roman" w:cs="Times New Roman" w:eastAsia="Times New Roman" w:hAnsi="Times New Roman"/>
          <w:color w:val="2e2e2e"/>
          <w:rtl w:val="0"/>
        </w:rPr>
        <w:t xml:space="preserve">Chernesky</w:t>
      </w:r>
      <w:r w:rsidDel="00000000" w:rsidR="00000000" w:rsidRPr="00000000">
        <w:rPr>
          <w:rFonts w:ascii="Times New Roman" w:cs="Times New Roman" w:eastAsia="Times New Roman" w:hAnsi="Times New Roman"/>
          <w:color w:val="2e2e2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Ссылка для доступа: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https://www.sciencedirect.com/topics/biochemistry-genetics-and-molecular-biology/multiplex-polymerase-chain-reaction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br w:type="textWrapping"/>
        <w:t xml:space="preserve">17. - Шляхто Е.В., Конради А.О. Персонализированная медицина. История, современное состояние проблемы и перспективы внедрения. Российский журнал персонализированной медицины. 2021;1(1):6-20. [Электронный ресурс] / Шляхто Е.В., Конради А.О.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Российский журнал персонализированной медицины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- Ссылка для доступа: 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https://persmed.elpub.ru/jour/article/view/3/3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br w:type="textWrapping"/>
        <w:t xml:space="preserve">18. - Мокрышева Н.Г., Мельниченко Г.А. Персонализированная медицина — этапы формирования концепции и пути практической ее реализации. Российский журнал персонализированной медицины. 2021;1(1):43-58.  [Электронный ресурс] /Мокрышева Н.Г., Мельниченко Г.А.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Российский журнал персонализированной медицины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- Ссылка для доступа:  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https://persmed.elpub.ru/jour/article/view/6/8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br w:type="textWrapping"/>
        <w:t xml:space="preserve">19. -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Сычев Д.А., Мирзаев К.Б., Денисенко Н.П., Абдуллаев Ш.П., Гришина Е.А. Фабрика фармакогенетических биомаркеров: как это работает?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Российский журнал персонализированной медицины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 2021;1(1):33-42. [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Электронный ресурс] /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Сычев Д.А., Мирзаев К.Б., Денисенко Н.П., Абдуллаев Ш.П., Гришина Е.А.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Российский журнал персонализированной медицины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- Ссылка для доступа: 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https://persmed.elpub.ru/jour/article/view/5/6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20. -  Vandenbroeck K, Comabella M, Tolosa E, et al. United Europeans for development of pharmacogenomics in multiple sclerosis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network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Pharmacogenomics. 2009;10(5):885-894. DOI: 10.2217/ pgs.09.33.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spacing w:after="220" w:before="0" w:line="288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Здравствуйте! Катя: 1) Обоснование актуальности работы    1</w:t>
      </w:r>
    </w:p>
    <w:p w:rsidR="00000000" w:rsidDel="00000000" w:rsidP="00000000" w:rsidRDefault="00000000" w:rsidRPr="00000000" w14:paraId="0000011E">
      <w:pPr>
        <w:keepNext w:val="0"/>
        <w:keepLines w:val="0"/>
        <w:spacing w:after="220" w:before="0" w:line="288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2)Точность формулировки цели и задач работы    1</w:t>
      </w:r>
    </w:p>
    <w:p w:rsidR="00000000" w:rsidDel="00000000" w:rsidP="00000000" w:rsidRDefault="00000000" w:rsidRPr="00000000" w14:paraId="0000011F">
      <w:pPr>
        <w:keepNext w:val="0"/>
        <w:keepLines w:val="0"/>
        <w:spacing w:after="220" w:before="0" w:line="288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4) Степень раскрытия темы / Полнота реализации задач, поставленных в работе    5</w:t>
      </w:r>
    </w:p>
    <w:p w:rsidR="00000000" w:rsidDel="00000000" w:rsidP="00000000" w:rsidRDefault="00000000" w:rsidRPr="00000000" w14:paraId="00000120">
      <w:pPr>
        <w:keepNext w:val="0"/>
        <w:keepLines w:val="0"/>
        <w:spacing w:after="220" w:before="0" w:line="288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6) Уникальность текста не менее 70%, прямые цитаты взяты в кавычки и даны ссылки.     2</w:t>
      </w:r>
    </w:p>
    <w:p w:rsidR="00000000" w:rsidDel="00000000" w:rsidP="00000000" w:rsidRDefault="00000000" w:rsidRPr="00000000" w14:paraId="00000121">
      <w:pPr>
        <w:keepNext w:val="0"/>
        <w:keepLines w:val="0"/>
        <w:spacing w:after="220" w:before="0" w:line="288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Итог:    9 баллов</w:t>
      </w:r>
    </w:p>
    <w:sectPr>
      <w:headerReference r:id="rId30" w:type="default"/>
      <w:footerReference r:id="rId31" w:type="default"/>
      <w:pgSz w:h="16834" w:w="11909" w:orient="portrait"/>
      <w:pgMar w:bottom="1440" w:top="144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4">
    <w:pPr>
      <w:jc w:val="left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na-technology.ru/sites/default/files/pcr_a5_083-4.pdf" TargetMode="External"/><Relationship Id="rId22" Type="http://schemas.openxmlformats.org/officeDocument/2006/relationships/hyperlink" Target="https://cyberleninka.ru/article/n/tehnologii-massovogo-parallelnogo-sekvenirovaniya-v-nevrologii" TargetMode="External"/><Relationship Id="rId21" Type="http://schemas.openxmlformats.org/officeDocument/2006/relationships/hyperlink" Target="https://med-gen.ru/docs/Disser_Simakova%20T.pdf" TargetMode="External"/><Relationship Id="rId24" Type="http://schemas.openxmlformats.org/officeDocument/2006/relationships/hyperlink" Target="https://drive.google.com/file/d/1Wtq72xKUYcaV5XWWzppDYdBv5hjAzj2V/view?usp=share_link" TargetMode="External"/><Relationship Id="rId23" Type="http://schemas.openxmlformats.org/officeDocument/2006/relationships/hyperlink" Target="https://postnauka.ru/longreads/46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26" Type="http://schemas.openxmlformats.org/officeDocument/2006/relationships/hyperlink" Target="https://www.sciencedirect.com/topics/biochemistry-genetics-and-molecular-biology/multiplex-polymerase-chain-reaction" TargetMode="External"/><Relationship Id="rId25" Type="http://schemas.openxmlformats.org/officeDocument/2006/relationships/hyperlink" Target="https://youtu.be/88LH7Ge0lRo?t=339" TargetMode="External"/><Relationship Id="rId28" Type="http://schemas.openxmlformats.org/officeDocument/2006/relationships/hyperlink" Target="https://persmed.elpub.ru/jour/article/view/6/8" TargetMode="External"/><Relationship Id="rId27" Type="http://schemas.openxmlformats.org/officeDocument/2006/relationships/hyperlink" Target="https://persmed.elpub.ru/jour/article/view/3/3" TargetMode="Externa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29" Type="http://schemas.openxmlformats.org/officeDocument/2006/relationships/hyperlink" Target="https://persmed.elpub.ru/jour/article/view/5/6" TargetMode="External"/><Relationship Id="rId7" Type="http://schemas.openxmlformats.org/officeDocument/2006/relationships/image" Target="media/image5.png"/><Relationship Id="rId8" Type="http://schemas.openxmlformats.org/officeDocument/2006/relationships/image" Target="media/image2.png"/><Relationship Id="rId31" Type="http://schemas.openxmlformats.org/officeDocument/2006/relationships/footer" Target="footer1.xml"/><Relationship Id="rId30" Type="http://schemas.openxmlformats.org/officeDocument/2006/relationships/header" Target="header1.xml"/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3" Type="http://schemas.openxmlformats.org/officeDocument/2006/relationships/hyperlink" Target="https://cyberleninka.ru/article/n/personalizirovannaya-meditsina-evolyutsiya-metodologii-i-problemy-prakticheskogo-vnedreniya" TargetMode="External"/><Relationship Id="rId12" Type="http://schemas.openxmlformats.org/officeDocument/2006/relationships/hyperlink" Target="https://cyberleninka.ru/article/n/geneticheskaya-geterogennost-i-nekotorye-drugie-problemy-oslozhnyayuschie-diagnostiku-nasledstvennyh-bolezney-nervnoy-sistemy#:~:text=%D0%9F%D0%BE%D0%B4%20%D0%B3%D0%B5%D0%BD%D0%B5%D1%82%D0%B8%D1%87%D0%B5%D1%81%D0%BA%D0%BE%D0%B9%20%D0%B3%D0%B5%D1%82%D0%B5%D1%80%D0%BE%D0%B3%D0%B5%D0%BD%D0%BD%D0%BE%D1%81%D1%82%D1%8C%D1%8E%20%D0%BD%D0%B0%D1%81%D0%BB%D0%B5%D0%B4%D1%81%D1%82%D0%B2%D0%B5%D0%BD%D0%BD%D1%8B%D1%85%20%D0%B1%D0%BE%D0%BB%D0%B5%D0%B7%D0%BD%D0%B5%D0%B9,%D0%BA%D0%BB%D0%B8%D0%BD%D0%B8%D1%87%D0%B5%D1%81%D0%BA%D0%B8%D0%BC%20%D0%BF%D1%80%D0%BE%D1%8F%D0%B2%D0%BB%D0%B5%D0%BD%D0%B8%D1%8F%D0%BC%20%D0%B7%D0%B0%D0%B1%D0%BE%D0%BB%D0%B5%D0%B2%D0%B0%D0%BD%D0%B8%D1%8F%20(%D0%B0%D0%BB%D0%BB%D0%B5%D0%BB%D1%8C%D0%BD%D0%B0%D1%8F%20%D0%B3%D0%B5%D1%82%D0%B5%D1%80%D0%BE%D0%B3%D0%B5%D0%BD%D0%BD%D0%BE%D1%81%D1%82%D1%8C)" TargetMode="External"/><Relationship Id="rId15" Type="http://schemas.openxmlformats.org/officeDocument/2006/relationships/hyperlink" Target="https://personalizedmedicinecoalition.org/Home" TargetMode="External"/><Relationship Id="rId14" Type="http://schemas.openxmlformats.org/officeDocument/2006/relationships/hyperlink" Target="http://medgenetics.ru/UserFile/File/Doc/Publications/2014/Puzyrev-2014-Medgen.pdf" TargetMode="External"/><Relationship Id="rId17" Type="http://schemas.openxmlformats.org/officeDocument/2006/relationships/hyperlink" Target="https://www.rmj.ru/articles/obshchie-stati/Antikoagulyanty_nepryamogo_deystviya_v_terapevticheskoy_praktike_lecheniya_i_profilaktiki_venoznogo_tromboembolizma/" TargetMode="External"/><Relationship Id="rId16" Type="http://schemas.openxmlformats.org/officeDocument/2006/relationships/hyperlink" Target="https://www.cancer.gov/publications/dictionaries/cancer-terms/def/personalized-medicine" TargetMode="External"/><Relationship Id="rId19" Type="http://schemas.openxmlformats.org/officeDocument/2006/relationships/hyperlink" Target="https://medi.ru/docplus/13451.pdf" TargetMode="External"/><Relationship Id="rId18" Type="http://schemas.openxmlformats.org/officeDocument/2006/relationships/hyperlink" Target="https://cyberleninka.ru/article/n/fenotipy-bronhialnoy-ast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