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Департамент образования города Москвы 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Государственное бюджетное общеобразовательное учреждение города Москвы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«Школа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32"/>
          <w:szCs w:val="32"/>
          <w:highlight w:val="white"/>
          <w:rtl w:val="0"/>
        </w:rPr>
        <w:t xml:space="preserve">№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1505 «Преображенская»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Иммунизация акул для разработки биопрепаратов</w:t>
      </w:r>
      <w:r w:rsidDel="00000000" w:rsidR="00000000" w:rsidRPr="00000000">
        <w:rPr>
          <w:rFonts w:ascii="Times New Roman" w:cs="Times New Roman" w:eastAsia="Times New Roman" w:hAnsi="Times New Roman"/>
          <w:sz w:val="44"/>
          <w:szCs w:val="4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ind w:right="-306.2598425196836"/>
        <w:jc w:val="center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Дипломная работа.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-306.2598425196836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6480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Выполнил:</w:t>
      </w:r>
    </w:p>
    <w:p w:rsidR="00000000" w:rsidDel="00000000" w:rsidP="00000000" w:rsidRDefault="00000000" w:rsidRPr="00000000" w14:paraId="0000000C">
      <w:pPr>
        <w:ind w:left="648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Ученик 9 «В» класса</w:t>
      </w:r>
    </w:p>
    <w:p w:rsidR="00000000" w:rsidDel="00000000" w:rsidP="00000000" w:rsidRDefault="00000000" w:rsidRPr="00000000" w14:paraId="0000000D">
      <w:pPr>
        <w:ind w:left="648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Колесников Илья Александрович</w:t>
      </w:r>
    </w:p>
    <w:p w:rsidR="00000000" w:rsidDel="00000000" w:rsidP="00000000" w:rsidRDefault="00000000" w:rsidRPr="00000000" w14:paraId="0000000E">
      <w:pPr>
        <w:ind w:left="648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648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648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Научный руководитель: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6480" w:right="-589.7244094488178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Заведующий лабораторией инфекционной иммунологии НИИ СБМ Роспотребнадзора Кудрявцев Александр Викторович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Москва, 2023 г.</w:t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Содержание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ВВЕДЕНИЕ </w:t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1 - Литературный обзор </w:t>
        <w:tab/>
        <w:tab/>
        <w:tab/>
        <w:tab/>
        <w:tab/>
        <w:br w:type="textWrapping"/>
        <w:t xml:space="preserve">1.1. Биологические и экологические особенности вида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80100"/>
          <w:sz w:val="28"/>
          <w:szCs w:val="28"/>
          <w:highlight w:val="white"/>
          <w:rtl w:val="0"/>
        </w:rPr>
        <w:t xml:space="preserve">Chiloscyllium griseum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  <w:tab/>
        <w:tab/>
        <w:tab/>
        <w:tab/>
        <w:tab/>
        <w:tab/>
        <w:tab/>
        <w:tab/>
        <w:br w:type="textWrapping"/>
        <w:t xml:space="preserve">1.2. Преимущества </w:t>
      </w:r>
      <w:r w:rsidDel="00000000" w:rsidR="00000000" w:rsidRPr="00000000">
        <w:rPr>
          <w:rFonts w:ascii="Times New Roman" w:cs="Times New Roman" w:eastAsia="Times New Roman" w:hAnsi="Times New Roman"/>
          <w:color w:val="080100"/>
          <w:sz w:val="28"/>
          <w:szCs w:val="28"/>
          <w:highlight w:val="white"/>
          <w:rtl w:val="0"/>
        </w:rPr>
        <w:t xml:space="preserve">Chiloscyllium griseum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качестве объекта для исследования.</w:t>
        <w:tab/>
        <w:tab/>
        <w:tab/>
        <w:tab/>
        <w:tab/>
        <w:tab/>
        <w:tab/>
        <w:tab/>
        <w:tab/>
        <w:br w:type="textWrapping"/>
        <w:t xml:space="preserve">1.3. </w:t>
      </w:r>
      <w:r w:rsidDel="00000000" w:rsidR="00000000" w:rsidRPr="00000000">
        <w:rPr>
          <w:rFonts w:ascii="Times New Roman" w:cs="Times New Roman" w:eastAsia="Times New Roman" w:hAnsi="Times New Roman"/>
          <w:color w:val="080100"/>
          <w:sz w:val="28"/>
          <w:szCs w:val="28"/>
          <w:highlight w:val="white"/>
          <w:rtl w:val="0"/>
        </w:rPr>
        <w:t xml:space="preserve">Chiloscyllium griseum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процессе исследования.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1.4.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Особенности антител акул.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ВЫВОДЫ </w:t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СПИСОК ИСПОЛЬЗОВАННОЙ ЛИТЕРАТУРЫ</w:t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Введение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Актуальность: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Атеросклероз является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серьёзным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распространенным заболеванием сердечно-сосудистой системы, не имеющим эффективного и доступного лечения и особенно опасным для людей в старости, что зачастую приводит к нарушениям трудоспособности и летальным исходам.</w:t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Проблема: </w:t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лечения атеросклероза сегодня используются такие препараты как статины. Они являются очень дорогостоящими и имеют множество побочных эффектов (сахарный диабет, гормональный сбой и т.д.)[4]. В связи с этим необходима разработка более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дешёвых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безопасных альтернатив.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Цель: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методику получения новых биопрепаратов при помощи иммунизации акул.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Задачи: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Изучить по литературным источникам о описать следующие вопросы: </w:t>
        <w:br w:type="textWrapping"/>
        <w:t xml:space="preserve">1.1. Биологические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экологические особенности вида Chiloscyllium griseum. (Серая кошачья акула).</w:t>
      </w:r>
    </w:p>
    <w:p w:rsidR="00000000" w:rsidDel="00000000" w:rsidP="00000000" w:rsidRDefault="00000000" w:rsidRPr="00000000" w14:paraId="0000003D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1.2. Условия содержания кошачьих акул в океанариуме.</w:t>
      </w:r>
    </w:p>
    <w:p w:rsidR="00000000" w:rsidDel="00000000" w:rsidP="00000000" w:rsidRDefault="00000000" w:rsidRPr="00000000" w14:paraId="0000003E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1.3. Особенности иммунной системы акул и человека.</w:t>
      </w:r>
    </w:p>
    <w:p w:rsidR="00000000" w:rsidDel="00000000" w:rsidP="00000000" w:rsidRDefault="00000000" w:rsidRPr="00000000" w14:paraId="0000003F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1.4. Технология иммунизации акул (приготовление и введение препарата), а также механизм забора крови у акул.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Принять участие в выполнении исследования и описать методику его проведения.</w:t>
      </w:r>
    </w:p>
    <w:p w:rsidR="00000000" w:rsidDel="00000000" w:rsidP="00000000" w:rsidRDefault="00000000" w:rsidRPr="00000000" w14:paraId="00000041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Times New Roman" w:cs="Times New Roman" w:eastAsia="Times New Roman" w:hAnsi="Times New Roman"/>
          <w:i w:val="1"/>
          <w:color w:val="20212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 Биологические и экологические особенности вида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80100"/>
          <w:sz w:val="28"/>
          <w:szCs w:val="28"/>
          <w:highlight w:val="white"/>
          <w:rtl w:val="0"/>
        </w:rPr>
        <w:t xml:space="preserve">Chiloscyllium griseum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  <w:drawing>
          <wp:inline distB="114300" distT="114300" distL="114300" distR="114300">
            <wp:extent cx="5731200" cy="31242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635682</wp:posOffset>
            </wp:positionV>
            <wp:extent cx="3150938" cy="4204763"/>
            <wp:effectExtent b="0" l="0" r="0" t="0"/>
            <wp:wrapTopAndBottom distB="114300" distT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0938" cy="4204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Рис. 1; 1.1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- Серые кошачьи акулы в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02124"/>
          <w:sz w:val="28"/>
          <w:szCs w:val="28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Москвариуме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02124"/>
          <w:sz w:val="28"/>
          <w:szCs w:val="28"/>
          <w:highlight w:val="white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Times New Roman" w:cs="Times New Roman" w:eastAsia="Times New Roman" w:hAnsi="Times New Roman"/>
          <w:i w:val="1"/>
          <w:color w:val="20212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Средний размер особи составляет около 60 см. Обитает в прибрежной территории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Пакистана, Индии, Шри-Ланки, Малайзии, Таиланда; номинально встречается в Индонезии, Китае, Японии, Филиппинах, Папуа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Новой Гвинее 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дна возле камней, в лагунах, коралловых рифах. В рацион питания серой кошачьей акулы входят по большей части бентосные организмы (мелкие рачки, моллюски и др.), беспозвоночные и в меньшей степени мелкая рыба. Обладает типичной для акул плакоидной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чешуёй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окраску, переходящую из коричневой в серую.</w:t>
      </w:r>
    </w:p>
    <w:p w:rsidR="00000000" w:rsidDel="00000000" w:rsidP="00000000" w:rsidRDefault="00000000" w:rsidRPr="00000000" w14:paraId="0000004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Откладывает на дно несколько (примерно 2-20) яиц,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заключённых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твёрдую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капсулу, на углах которой находятся длинные роговые нити, с помощью которых они крепятся к находящимся на дне камням или к грунту. [1]</w:t>
      </w:r>
    </w:p>
    <w:p w:rsidR="00000000" w:rsidDel="00000000" w:rsidP="00000000" w:rsidRDefault="00000000" w:rsidRPr="00000000" w14:paraId="0000005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Образ жизни серой кошачьей акулы можно назвать относительно пассивным. Она не является агрессивной и не представляет опасности для человека. </w:t>
      </w:r>
    </w:p>
    <w:p w:rsidR="00000000" w:rsidDel="00000000" w:rsidP="00000000" w:rsidRDefault="00000000" w:rsidRPr="00000000" w14:paraId="0000005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Серая кошачья акула имеет съедобное мясо[1], но в донном траловом, парусном и вылове при помощи жаберных сетей считается случайным уловом [2]. Вид относится к категории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8"/>
          <w:szCs w:val="28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Уязвимый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8"/>
          <w:szCs w:val="28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из-за рыболовного промысла и разрушения среды обитания [2].</w:t>
      </w:r>
    </w:p>
    <w:p w:rsidR="00000000" w:rsidDel="00000000" w:rsidP="00000000" w:rsidRDefault="00000000" w:rsidRPr="00000000" w14:paraId="0000005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 Преимущества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80100"/>
          <w:sz w:val="28"/>
          <w:szCs w:val="28"/>
          <w:highlight w:val="white"/>
          <w:rtl w:val="0"/>
        </w:rPr>
        <w:t xml:space="preserve">Chiloscyllium griseum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в качестве объекта для исследования.</w:t>
      </w:r>
    </w:p>
    <w:p w:rsidR="00000000" w:rsidDel="00000000" w:rsidP="00000000" w:rsidRDefault="00000000" w:rsidRPr="00000000" w14:paraId="0000005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Данный вид достаточно легко содержать в океанариумах и лабораториях (Рис 1, 2),</w:t>
        <w:br w:type="textWrapping"/>
        <w:t xml:space="preserve">Рыбы неприхотливы, нуждаются лишь в своевременной очистке воды, что в современных океанариумах не представляют проблемы. </w:t>
        <w:br w:type="textWrapping"/>
        <w:t xml:space="preserve">Не нуждаются в какой-либо экзотической пище. Легко размножаются без специальной стимуляции, не нуждается в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отсаживании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из экспозиционных аквариумов. Имеют высокую выживаемость среди эмбрионов (Рис. 3). Всё это делает кошачьих акул очень удобным объектом для научных экспериментов.</w:t>
        <w:br w:type="textWrapping"/>
        <w:t xml:space="preserve">Эти акулы содержатся во всех публичных океанариумах России, также во всех океанариумах зафиксирована рождаемость. [3]</w:t>
      </w:r>
    </w:p>
    <w:p w:rsidR="00000000" w:rsidDel="00000000" w:rsidP="00000000" w:rsidRDefault="00000000" w:rsidRPr="00000000" w14:paraId="0000005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080671" cy="4148138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0671" cy="4148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Рис. 2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- Временное место содержания акул в лаборатории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02124"/>
          <w:sz w:val="28"/>
          <w:szCs w:val="28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Москвариума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02124"/>
          <w:sz w:val="28"/>
          <w:szCs w:val="28"/>
          <w:highlight w:val="white"/>
          <w:rtl w:val="0"/>
        </w:rPr>
        <w:t xml:space="preserve">»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02124"/>
          <w:sz w:val="28"/>
          <w:szCs w:val="28"/>
          <w:highlight w:val="white"/>
        </w:rPr>
        <w:drawing>
          <wp:inline distB="114300" distT="114300" distL="114300" distR="114300">
            <wp:extent cx="2942177" cy="3919739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2177" cy="3919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02124"/>
          <w:sz w:val="28"/>
          <w:szCs w:val="28"/>
          <w:highlight w:val="whit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Рис. 3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- Просвеченное яйцо серой кошачьей акулы с эмбрионом.</w:t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80100"/>
          <w:sz w:val="28"/>
          <w:szCs w:val="28"/>
          <w:highlight w:val="white"/>
          <w:rtl w:val="0"/>
        </w:rPr>
        <w:t xml:space="preserve">Chiloscyllium griseum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во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время исследования.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базе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8"/>
          <w:szCs w:val="28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Москвариума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8"/>
          <w:szCs w:val="28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использовали 8 взрослых особей акул для иммунизации. </w:t>
        <w:br w:type="textWrapping"/>
        <w:t xml:space="preserve">Для создания раствора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берётся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буфер (для создания необходимой слабощелочной среды для схождения с кровью акулы), который смешивают с воспалительным белком IL-6 (Интерлейкин-6) в виде порошка. Функция белка у человека - стимуляция синтеза печенью белков острой фазы воспаления. IL-6 в человеческой иммунной системе выделяют активированные макрофаги и Т-лимфоциты. После добавляется адъювант (вещество, используемое для усиления иммунного ответа на антиген,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введённый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вместе с ним). Приготовленный раствор вводили внутримышечно под спинной плавник. Иммунизация проводилась многократно с интервалом в месяц и всегда вызывала ярко выраженные кожные реакции (Рис. 4, 5).</w:t>
        <w:br w:type="textWrapping"/>
        <w:t xml:space="preserve">Забор крови производился из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подхвостовой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вены. Из забранной крови затем выделяются антитела и лимфоциты. При исследовании крови из первого анализа были обнаружены антитела к введенному антигену. </w:t>
      </w:r>
    </w:p>
    <w:p w:rsidR="00000000" w:rsidDel="00000000" w:rsidP="00000000" w:rsidRDefault="00000000" w:rsidRPr="00000000" w14:paraId="0000005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настоящее время исследования продолжаются, планируются дальнейшие иммунизации и заборы крови у акул в лабораторных условиях, а также проведение лабораторных исследований полученных антител.</w:t>
        <w:br w:type="textWrapping"/>
        <w:t xml:space="preserve">На основе полученных результатов планируется разработка новых лекарственных средств, не имеющих аналогов в мире.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39026" cy="420372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9026" cy="420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Рис. 4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- Кожная реакция в области укола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51112" cy="3398074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1112" cy="3398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Рис. 5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- Схематичный процесс иммунизации и создания биопрепарата.</w:t>
        <w:br w:type="textWrapping"/>
        <w:t xml:space="preserve">1, 2, 3, 4 - Введение антигена в кровь акулы. Забор крови происходит после 3, а также после 4 укола. </w:t>
        <w:br w:type="textWrapping"/>
        <w:t xml:space="preserve">5 - Акула, имеющая специализированные антитела к антигену. </w:t>
        <w:br w:type="textWrapping"/>
        <w:t xml:space="preserve">6 - Выделение антител из крови акулы</w:t>
        <w:br w:type="textWrapping"/>
        <w:t xml:space="preserve">7 - Создание биопрепарата</w:t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1.4. Особенности антител акул.</w:t>
      </w:r>
    </w:p>
    <w:p w:rsidR="00000000" w:rsidDel="00000000" w:rsidP="00000000" w:rsidRDefault="00000000" w:rsidRPr="00000000" w14:paraId="0000005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Особые антитела акул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IgNAR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имеют несколько важных особенностей, выделяющих их на фоне моноклональных антител (т.е. антител, которые выделяет множество клонов одной иммунной клетки):</w:t>
        <w:br w:type="textWrapping"/>
        <w:t xml:space="preserve">1. Антитела акул в 10 раз меньше моноклональных антител, что повышает их проницаемость в кровоток.</w:t>
        <w:br w:type="textWrapping"/>
        <w:t xml:space="preserve">2. Их возможно производить в бактериальных клетках, а не эукариотических, что значительно удешевляет производство.</w:t>
        <w:br w:type="textWrapping"/>
        <w:t xml:space="preserve">3. Высокая специфичность к антигену-цели.</w:t>
        <w:br w:type="textWrapping"/>
        <w:t xml:space="preserve">4. Низкая иммуногенность (не вызывают активной реакции иммунной системы на себя). [4]</w:t>
        <w:br w:type="textWrapping"/>
        <w:t xml:space="preserve">Помимо этого, антитела акул, а также лам-альпак и верблюдов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состоят только из тяжелых полипептидных цепей, в отличие от антител большинства других животных, которые состоят из двух легких и двух тяжелых полипептидных цепей.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Это позволяет использовать лишь активную часть данной большой молекулы антитела, называющейся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нанотелом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что увеличивает биодоступность и способствует упомянутой выше иммуногенности. [4]</w:t>
      </w:r>
    </w:p>
    <w:p w:rsidR="00000000" w:rsidDel="00000000" w:rsidP="00000000" w:rsidRDefault="00000000" w:rsidRPr="00000000" w14:paraId="0000005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Выводы</w:t>
      </w:r>
    </w:p>
    <w:p w:rsidR="00000000" w:rsidDel="00000000" w:rsidP="00000000" w:rsidRDefault="00000000" w:rsidRPr="00000000" w14:paraId="0000006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антитела акул, и ряд биологически активных веществ, в частности, сквален являются очень перспективным объектом для исследования. Их используют для создания платформ для лечения огромного спектра заболеваний, в том числе болезни Альцгеймера. В настоящее время уже проведены исследования in-vitro, а в ближайшее время начнутся исследования in-vivo с привлечением обезьян. </w:t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надеемся, что исследования в этой области внесут свой вклад в борьбу с тяжёлыми заболеваниями человека.</w:t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Литература:</w:t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Leonard J.V. Compagno,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Shark Research Center, Iziko-Museums of Cape Town, South African Museum (Cape Town, South Africa).,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Sharks of the World, Volume 2. Bullhead, mackerel and carpet sharks (Heterodontformes, Lamniformes and Orectolobiformes)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[Электронный ресурс] Режим доступа: https://www.fao.org/3/x9293e/x9293e10.pdf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80100"/>
          <w:sz w:val="28"/>
          <w:szCs w:val="28"/>
          <w:highlight w:val="white"/>
          <w:rtl w:val="0"/>
        </w:rPr>
        <w:t xml:space="preserve">VanderWright, W.J., Bin Ali, A., Bineesh, K.K., Derrick, D., Haque, A.B., Krajangdara, T., Maung, A. &amp; Seyha, L. 2020.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80100"/>
          <w:sz w:val="28"/>
          <w:szCs w:val="28"/>
          <w:highlight w:val="white"/>
          <w:rtl w:val="0"/>
        </w:rPr>
        <w:t xml:space="preserve">Chiloscyllium griseum</w:t>
      </w:r>
      <w:r w:rsidDel="00000000" w:rsidR="00000000" w:rsidRPr="00000000">
        <w:rPr>
          <w:rFonts w:ascii="Times New Roman" w:cs="Times New Roman" w:eastAsia="Times New Roman" w:hAnsi="Times New Roman"/>
          <w:color w:val="080100"/>
          <w:sz w:val="28"/>
          <w:szCs w:val="28"/>
          <w:highlight w:val="whit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80100"/>
          <w:sz w:val="28"/>
          <w:szCs w:val="28"/>
          <w:highlight w:val="white"/>
          <w:rtl w:val="0"/>
        </w:rPr>
        <w:t xml:space="preserve">The IUCN Red List of Threatened Species</w:t>
      </w:r>
      <w:r w:rsidDel="00000000" w:rsidR="00000000" w:rsidRPr="00000000">
        <w:rPr>
          <w:rFonts w:ascii="Times New Roman" w:cs="Times New Roman" w:eastAsia="Times New Roman" w:hAnsi="Times New Roman"/>
          <w:color w:val="080100"/>
          <w:sz w:val="28"/>
          <w:szCs w:val="28"/>
          <w:highlight w:val="white"/>
          <w:rtl w:val="0"/>
        </w:rPr>
        <w:t xml:space="preserve"> 2020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[Электронный ресурс] / Режим доступа: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https://www.iucnredlist.org/species/41792/124416752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spacing w:after="0" w:afterAutospacing="0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Евроазиатская региональная ассоциация зоопарков и аквариумов, </w:t>
        <w:br w:type="textWrapping"/>
        <w:t xml:space="preserve">информационных сборник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8"/>
          <w:szCs w:val="28"/>
          <w:highlight w:val="white"/>
          <w:rtl w:val="0"/>
        </w:rPr>
        <w:t xml:space="preserve">№41, 2022 год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[Электронный ресурс]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sz w:val="28"/>
          <w:szCs w:val="28"/>
          <w:highlight w:val="white"/>
          <w:rtl w:val="0"/>
        </w:rPr>
        <w:t xml:space="preserve">/ Режим доступа: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highlight w:val="white"/>
            <w:u w:val="single"/>
            <w:rtl w:val="0"/>
          </w:rPr>
          <w:t xml:space="preserve">http://earaza.ru/?p=4592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keepNext w:val="0"/>
        <w:keepLines w:val="0"/>
        <w:numPr>
          <w:ilvl w:val="0"/>
          <w:numId w:val="2"/>
        </w:numPr>
        <w:shd w:fill="ffffff" w:val="clear"/>
        <w:spacing w:after="0" w:before="0" w:beforeAutospacing="0" w:line="280" w:lineRule="auto"/>
        <w:ind w:left="720" w:hanging="360"/>
        <w:rPr>
          <w:rFonts w:ascii="Times New Roman" w:cs="Times New Roman" w:eastAsia="Times New Roman" w:hAnsi="Times New Roman"/>
          <w:color w:val="202124"/>
          <w:sz w:val="28"/>
          <w:szCs w:val="28"/>
          <w:highlight w:val="white"/>
        </w:rPr>
      </w:pPr>
      <w:bookmarkStart w:colFirst="0" w:colLast="0" w:name="_y8d603vtv1gy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202124"/>
          <w:sz w:val="28"/>
          <w:szCs w:val="28"/>
          <w:highlight w:val="white"/>
          <w:rtl w:val="0"/>
        </w:rPr>
        <w:t xml:space="preserve">Секрет внутри акулы: как «Протеомарин» использует антитела морских хищников для лечения атеросклероза и онкологии [Электронный ресурс] / Режим доступа: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https://hightech-fm.turbopages.org/hightech.fm/s/2019/08/05/proteomarin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first"/>
      <w:pgSz w:h="16834" w:w="11909" w:orient="portrait"/>
      <w:pgMar w:bottom="1440" w:top="1440" w:left="1440" w:right="1440" w:header="0" w:footer="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jc w:val="both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hyperlink" Target="http://earaza.ru/?p=4592" TargetMode="External"/><Relationship Id="rId12" Type="http://schemas.openxmlformats.org/officeDocument/2006/relationships/hyperlink" Target="https://www.iucnredlist.org/species/41792/124416752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eader" Target="header1.xml"/><Relationship Id="rId14" Type="http://schemas.openxmlformats.org/officeDocument/2006/relationships/hyperlink" Target="https://hightech-fm.turbopages.org/hightech.fm/s/2019/08/05/proteomarin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