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231" w:rsidRDefault="00E47FBB">
      <w:pPr>
        <w:pStyle w:val="normal0"/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kix.53smw0cvujdl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Департамент образования города Москвы</w:t>
      </w:r>
    </w:p>
    <w:p w:rsidR="009D3231" w:rsidRDefault="00E47FBB">
      <w:pPr>
        <w:pStyle w:val="normal0"/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 города</w:t>
      </w:r>
    </w:p>
    <w:p w:rsidR="009D3231" w:rsidRDefault="00E47FBB">
      <w:pPr>
        <w:pStyle w:val="normal0"/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Москвы «Школа №1505 «Преображенская»</w:t>
      </w:r>
    </w:p>
    <w:p w:rsidR="009D3231" w:rsidRDefault="00E47FBB">
      <w:pPr>
        <w:pStyle w:val="normal0"/>
        <w:spacing w:line="427" w:lineRule="auto"/>
        <w:jc w:val="center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> </w:t>
      </w:r>
    </w:p>
    <w:p w:rsidR="009D3231" w:rsidRDefault="00E47FBB">
      <w:pPr>
        <w:pStyle w:val="normal0"/>
        <w:spacing w:line="427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> </w:t>
      </w:r>
    </w:p>
    <w:p w:rsidR="009D3231" w:rsidRDefault="00E47FBB">
      <w:pPr>
        <w:pStyle w:val="normal0"/>
        <w:spacing w:after="140"/>
        <w:jc w:val="center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br/>
      </w:r>
    </w:p>
    <w:p w:rsidR="009D3231" w:rsidRDefault="009D3231">
      <w:pPr>
        <w:pStyle w:val="normal0"/>
        <w:spacing w:after="140"/>
        <w:jc w:val="center"/>
        <w:rPr>
          <w:rFonts w:ascii="Liberation Serif" w:eastAsia="Liberation Serif" w:hAnsi="Liberation Serif" w:cs="Liberation Serif"/>
          <w:sz w:val="24"/>
          <w:szCs w:val="24"/>
        </w:rPr>
      </w:pPr>
    </w:p>
    <w:p w:rsidR="009D3231" w:rsidRDefault="009D3231">
      <w:pPr>
        <w:pStyle w:val="normal0"/>
        <w:spacing w:after="140"/>
        <w:jc w:val="center"/>
        <w:rPr>
          <w:rFonts w:ascii="Liberation Serif" w:eastAsia="Liberation Serif" w:hAnsi="Liberation Serif" w:cs="Liberation Serif"/>
          <w:sz w:val="24"/>
          <w:szCs w:val="24"/>
        </w:rPr>
      </w:pPr>
    </w:p>
    <w:p w:rsidR="009D3231" w:rsidRDefault="00E47FBB">
      <w:pPr>
        <w:pStyle w:val="normal0"/>
        <w:spacing w:after="14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Разнообразие свойств фагоцитирующих клеток животных</w:t>
      </w:r>
    </w:p>
    <w:p w:rsidR="009D3231" w:rsidRDefault="00E47FBB">
      <w:pPr>
        <w:pStyle w:val="normal0"/>
        <w:spacing w:line="331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реферат</w:t>
      </w:r>
    </w:p>
    <w:p w:rsidR="009D3231" w:rsidRDefault="00E47FBB">
      <w:pPr>
        <w:pStyle w:val="normal0"/>
        <w:spacing w:after="140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br/>
      </w:r>
    </w:p>
    <w:p w:rsidR="009D3231" w:rsidRDefault="00E47FBB">
      <w:pPr>
        <w:pStyle w:val="normal0"/>
        <w:spacing w:line="331" w:lineRule="auto"/>
        <w:ind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ВЫПОЛНИЛА</w:t>
      </w:r>
    </w:p>
    <w:p w:rsidR="009D3231" w:rsidRDefault="00E47FBB">
      <w:pPr>
        <w:pStyle w:val="normal0"/>
        <w:spacing w:line="288" w:lineRule="auto"/>
        <w:ind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ученица</w:t>
      </w:r>
      <w:r>
        <w:rPr>
          <w:rFonts w:ascii="Times New Roman" w:eastAsia="Times New Roman" w:hAnsi="Times New Roman" w:cs="Times New Roman"/>
          <w:color w:val="CE181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9А класса</w:t>
      </w:r>
    </w:p>
    <w:p w:rsidR="009D3231" w:rsidRDefault="00E47FBB">
      <w:pPr>
        <w:pStyle w:val="normal0"/>
        <w:spacing w:line="288" w:lineRule="auto"/>
        <w:ind w:hanging="5953"/>
        <w:jc w:val="right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> </w:t>
      </w:r>
    </w:p>
    <w:p w:rsidR="009D3231" w:rsidRDefault="00E47FBB">
      <w:pPr>
        <w:pStyle w:val="normal0"/>
        <w:spacing w:line="331" w:lineRule="auto"/>
        <w:ind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Куркина Вероника Геннадьевна</w:t>
      </w:r>
    </w:p>
    <w:p w:rsidR="009D3231" w:rsidRDefault="009D3231">
      <w:pPr>
        <w:pStyle w:val="normal0"/>
        <w:spacing w:after="140"/>
        <w:rPr>
          <w:rFonts w:ascii="Liberation Serif" w:eastAsia="Liberation Serif" w:hAnsi="Liberation Serif" w:cs="Liberation Serif"/>
          <w:sz w:val="24"/>
          <w:szCs w:val="24"/>
        </w:rPr>
      </w:pPr>
    </w:p>
    <w:p w:rsidR="009D3231" w:rsidRDefault="00E47FBB">
      <w:pPr>
        <w:pStyle w:val="normal0"/>
        <w:spacing w:line="331" w:lineRule="auto"/>
        <w:ind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</w:t>
      </w:r>
    </w:p>
    <w:p w:rsidR="009D3231" w:rsidRDefault="00E47FBB">
      <w:pPr>
        <w:pStyle w:val="normal0"/>
        <w:spacing w:line="427" w:lineRule="auto"/>
        <w:ind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Ноздрачева Анна Николаевна</w:t>
      </w:r>
    </w:p>
    <w:p w:rsidR="009D3231" w:rsidRDefault="009D3231">
      <w:pPr>
        <w:pStyle w:val="normal0"/>
        <w:spacing w:after="140"/>
        <w:rPr>
          <w:rFonts w:ascii="Liberation Serif" w:eastAsia="Liberation Serif" w:hAnsi="Liberation Serif" w:cs="Liberation Serif"/>
          <w:sz w:val="24"/>
          <w:szCs w:val="24"/>
        </w:rPr>
      </w:pPr>
    </w:p>
    <w:p w:rsidR="009D3231" w:rsidRDefault="00E47FBB">
      <w:pPr>
        <w:pStyle w:val="normal0"/>
        <w:spacing w:line="427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РЕЦЕНЗЕНТ</w:t>
      </w:r>
    </w:p>
    <w:p w:rsidR="009D3231" w:rsidRDefault="00E47FBB">
      <w:pPr>
        <w:pStyle w:val="normal0"/>
        <w:spacing w:line="331" w:lineRule="auto"/>
        <w:ind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 Ольга Ильинична</w:t>
      </w:r>
    </w:p>
    <w:p w:rsidR="009D3231" w:rsidRDefault="00E47FBB">
      <w:pPr>
        <w:pStyle w:val="normal0"/>
        <w:spacing w:after="140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br/>
      </w:r>
    </w:p>
    <w:p w:rsidR="009D3231" w:rsidRDefault="009D3231">
      <w:pPr>
        <w:pStyle w:val="normal0"/>
        <w:spacing w:line="4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3231" w:rsidRDefault="009D3231">
      <w:pPr>
        <w:pStyle w:val="normal0"/>
        <w:spacing w:line="4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3231" w:rsidRDefault="009D3231">
      <w:pPr>
        <w:pStyle w:val="normal0"/>
        <w:spacing w:line="4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3231" w:rsidRDefault="00E47FBB">
      <w:pPr>
        <w:pStyle w:val="normal0"/>
        <w:spacing w:line="4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Москва, 2020 г.</w:t>
      </w:r>
    </w:p>
    <w:p w:rsidR="009D3231" w:rsidRDefault="00E47FBB">
      <w:pPr>
        <w:pStyle w:val="normal0"/>
        <w:spacing w:line="4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:rsidR="009D3231" w:rsidRDefault="00E47FBB">
      <w:pPr>
        <w:pStyle w:val="normal0"/>
        <w:spacing w:line="427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                                                                                         </w:t>
      </w:r>
    </w:p>
    <w:p w:rsidR="009D3231" w:rsidRDefault="00E47FBB">
      <w:pPr>
        <w:pStyle w:val="normal0"/>
        <w:spacing w:line="427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1. Общие сведения о фагоцитозе</w:t>
      </w:r>
      <w:r>
        <w:rPr>
          <w:rFonts w:ascii="Liberation Serif" w:eastAsia="Liberation Serif" w:hAnsi="Liberation Serif" w:cs="Liberation Serif"/>
          <w:sz w:val="24"/>
          <w:szCs w:val="24"/>
        </w:rPr>
        <w:t xml:space="preserve">                    </w:t>
      </w:r>
    </w:p>
    <w:p w:rsidR="009D3231" w:rsidRDefault="00E47FBB">
      <w:pPr>
        <w:pStyle w:val="normal0"/>
        <w:spacing w:line="427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 Фагоцитоз и его стадии </w:t>
      </w:r>
    </w:p>
    <w:p w:rsidR="009D3231" w:rsidRDefault="00E47FBB">
      <w:pPr>
        <w:pStyle w:val="normal0"/>
        <w:spacing w:line="427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 Фагоцитирующие клетки беспозвоночных</w:t>
      </w:r>
    </w:p>
    <w:p w:rsidR="009D3231" w:rsidRDefault="00E47FBB">
      <w:pPr>
        <w:pStyle w:val="normal0"/>
        <w:spacing w:line="427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2. Фагоцитоз и человек</w:t>
      </w:r>
      <w:r>
        <w:rPr>
          <w:rFonts w:ascii="Liberation Serif" w:eastAsia="Liberation Serif" w:hAnsi="Liberation Serif" w:cs="Liberation Serif"/>
          <w:sz w:val="24"/>
          <w:szCs w:val="24"/>
        </w:rPr>
        <w:t>      </w:t>
      </w:r>
    </w:p>
    <w:p w:rsidR="009D3231" w:rsidRDefault="00E47FBB">
      <w:pPr>
        <w:pStyle w:val="normal0"/>
        <w:spacing w:line="427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 Фагоцитирующие клетки в организме человека</w:t>
      </w:r>
    </w:p>
    <w:p w:rsidR="009D3231" w:rsidRDefault="00E47FBB">
      <w:pPr>
        <w:pStyle w:val="normal0"/>
        <w:spacing w:line="427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 Потенциальное использование механизмов работ</w:t>
      </w:r>
      <w:r>
        <w:rPr>
          <w:rFonts w:ascii="Times New Roman" w:eastAsia="Times New Roman" w:hAnsi="Times New Roman" w:cs="Times New Roman"/>
          <w:sz w:val="28"/>
          <w:szCs w:val="28"/>
        </w:rPr>
        <w:t>ы фагоцитов в других организмах</w:t>
      </w:r>
    </w:p>
    <w:p w:rsidR="009D3231" w:rsidRDefault="00E47FBB">
      <w:pPr>
        <w:pStyle w:val="normal0"/>
        <w:spacing w:line="427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ВЫВОДЫ</w:t>
      </w:r>
    </w:p>
    <w:p w:rsidR="009D3231" w:rsidRDefault="00E47FBB">
      <w:pPr>
        <w:pStyle w:val="normal0"/>
        <w:spacing w:line="427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>
        <w:rPr>
          <w:rFonts w:ascii="Liberation Serif" w:eastAsia="Liberation Serif" w:hAnsi="Liberation Serif" w:cs="Liberation Serif"/>
          <w:sz w:val="24"/>
          <w:szCs w:val="24"/>
        </w:rPr>
        <w:t xml:space="preserve">                           </w:t>
      </w:r>
    </w:p>
    <w:p w:rsidR="009D3231" w:rsidRDefault="00E47FBB">
      <w:pPr>
        <w:pStyle w:val="normal0"/>
        <w:spacing w:line="427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ЛИТЕРАТУРЫ </w:t>
      </w:r>
      <w:r>
        <w:rPr>
          <w:rFonts w:ascii="Liberation Serif" w:eastAsia="Liberation Serif" w:hAnsi="Liberation Serif" w:cs="Liberation Serif"/>
          <w:sz w:val="24"/>
          <w:szCs w:val="24"/>
        </w:rPr>
        <w:br/>
      </w:r>
      <w:r>
        <w:br w:type="page"/>
      </w:r>
    </w:p>
    <w:p w:rsidR="009D3231" w:rsidRDefault="00E47FBB">
      <w:pPr>
        <w:pStyle w:val="normal0"/>
        <w:spacing w:line="42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Фагоцитоз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активное захватывание и поглощение микроскопических инородных живых объектов (бактерии, фрагменты клеток) и твердых частиц одноклеточными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организмами или некоторыми клетками многоклеточных животных [1]. Это нужно для того, чтобы при некоторых критических состояниях иммунный ответ протекал быстрее и эффективнее. Но сперва нужно разобраться в самом процессе фагоцитоза, какой он бывает и чем 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тличается у других видов.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Проблема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Моделирование процессов, происходящих в человеке, на животных.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Актуальность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Фагоцитоз является неотъемлемой частью иммунного ответа любого организма, и изучение этого процесса у организмов с разной морфологией и физиологией может принести практическую пользу человеку.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ab/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Цель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Ответить на вопрос, какие отличительные свойства фагоцит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ирующих клеток других организмов могут быть полезны человеку.</w:t>
      </w:r>
    </w:p>
    <w:p w:rsidR="009D3231" w:rsidRDefault="00E47FBB">
      <w:pPr>
        <w:pStyle w:val="normal0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Задачи</w:t>
      </w:r>
    </w:p>
    <w:p w:rsidR="009D3231" w:rsidRDefault="00E47FBB">
      <w:pPr>
        <w:pStyle w:val="normal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Изучить и описать общие принципы работы, разнообразие фагоцитирующих животных клеток</w:t>
      </w:r>
    </w:p>
    <w:p w:rsidR="009D3231" w:rsidRDefault="00E47FBB">
      <w:pPr>
        <w:pStyle w:val="normal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Описать функции фагоцитирующих животных клеток</w:t>
      </w:r>
    </w:p>
    <w:p w:rsidR="009D3231" w:rsidRDefault="00E47FBB">
      <w:pPr>
        <w:pStyle w:val="normal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Выделить отличительные свойства фагоцитов в других орга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низмах</w:t>
      </w:r>
    </w:p>
    <w:p w:rsidR="009D3231" w:rsidRDefault="00E47FBB">
      <w:pPr>
        <w:pStyle w:val="normal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Рассмотреть возможность перенесения сведений , полученных из экспериментов на фагоцитах животных, на человека</w:t>
      </w:r>
    </w:p>
    <w:p w:rsidR="009D3231" w:rsidRDefault="00E47FBB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9D3231" w:rsidRDefault="00E47FBB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ГЛАВА 1. Общие сведения о фагоцитозе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1.1 Фагоцитоз и его стадии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Фагоцитоз был открыт И.И. Мечниковым в 1882 году: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г. Ринго [Италия],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пригороде Мессины, в доме с видом на залив, Мечников и сделал свое выдающееся открытие: он описал активный ответ организма хозяина в форме клеточной реакции, направленной на уничтожение чужеродных тел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[2], но статья об открытом явлении была выпущена лишь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1883 году. 10 декабря 1908 году в Стокгольме Илье Ильичу Мечникову была выдана Нобелевская премия по медицине и физиологии за совместную научную работу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 Паулем Эрлихом, предметом изучения которой стал гуморальный и клеточный иммунитет. Процесс фагоцитоз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можно разделить на 5 стадий 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рис. 1)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[7]:</w:t>
      </w:r>
    </w:p>
    <w:p w:rsidR="009D3231" w:rsidRDefault="00E47FBB">
      <w:pPr>
        <w:pStyle w:val="normal0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Сближение объекта фагоцитоза и фагоцита (хемотаксис)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 хемотаксисе инородный объект, попав внутрь начинает выделять определенные вещества (хемоаттрактанты), взаимодействуя с комплементами — белковыми комплексам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организма, помечающими инородные объекты. Эти вещества связываются с рецепторами на поверхности фагоцитов, таким образом иммунные фагоцитирующие клетки организма узнают о появлении агрессора. </w:t>
      </w:r>
    </w:p>
    <w:p w:rsidR="009D3231" w:rsidRDefault="00E47FBB">
      <w:pPr>
        <w:pStyle w:val="normal0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Адгезия («слипание» фагоцита и объекта)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Несмотря на то, что ф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агоциты способны поглощать некоторые объекты без слипания с ними, наиболее интенсивный фагоцитоз протекает благодаря предварительной адгезии объекта к мембране фагоцитирующей клетки. При поглощении бактерий или собственных клеток организма рецепторами на ф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агоците распознаются концевые остатки углеводов, имеющиеся на поверхности иммунной клетки. При поглощении неживых объектов фагоциты обволакивают его собственными продуктами жизнедеятельности и лишь затем приступают к связыванию белков на мембране. </w:t>
      </w:r>
    </w:p>
    <w:p w:rsidR="009D3231" w:rsidRDefault="00E47FBB">
      <w:pPr>
        <w:pStyle w:val="normal0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Поглоще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ние объекта фагоцитоза</w:t>
      </w:r>
    </w:p>
    <w:p w:rsidR="009D3231" w:rsidRDefault="00E47FBB">
      <w:pPr>
        <w:pStyle w:val="normal0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Активация мембраны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Активацией называется повышение концентрации свободных ионов кальция в цитозоле. На этом этапе мембрана готовится к поглощению инородной частицы, ионы Ca2+ выходят из клеточных депо. Основным таким депо является эндоплазматический ретикулум (ЭПР), в клетка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 скелетных мышц аналогичный органоид называется саркоплазматическим ретикулумом (СР).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В 1976 году японские ученые И. Огава и С. Эбаши установили, что определенная фракция пузырьков СР способна освобождать накопленный Са2 + под действием некоторых агентов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(кофеин, негидролизуемые аналоги АТФ), и постулировали присутствие в них Са-каналов. &lt;...&gt; Са-каналы СР являются той структурой, которая в ответ на деполяризацию ПМ обеспечивает быстрый массированный выброс Са2 + из ретикулума в цитоплазму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[13].</w:t>
      </w:r>
    </w:p>
    <w:p w:rsidR="009D3231" w:rsidRDefault="00E47FBB">
      <w:pPr>
        <w:pStyle w:val="normal0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Погружен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ие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Мембрана под воздействием изменений цитоскелета и белков актинов меняет свою форму, обволакивая инородное тело, формирует впячивание. </w:t>
      </w:r>
    </w:p>
    <w:p w:rsidR="009D3231" w:rsidRDefault="00E47FBB">
      <w:pPr>
        <w:pStyle w:val="normal0"/>
        <w:numPr>
          <w:ilvl w:val="1"/>
          <w:numId w:val="3"/>
        </w:numPr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Образование фагосомы и фаголизосомы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Мембрана замыкается, погрузив в себя объект фагоцитоза, образуя внутренний пузырёк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—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фагосому, который впоследствии сливается с лизосомами в фаголизосому.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Механизмы сближения фагосомы и лизосом неясны. Вероятно, происходит активное перемещение лизосом к фагосомам [3]. </w:t>
      </w:r>
    </w:p>
    <w:p w:rsidR="009D3231" w:rsidRDefault="00E47FBB">
      <w:pPr>
        <w:pStyle w:val="normal0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Расщепление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Есть два основных пути уничтожения частицы-агрессора: кислород-зависимый (активные формы кислорода, например, перекись водорода, окисляют молекулы инородной частицы) и кислород-независимый (чаще всего либо белки фаготицирующей клетки разрушают клеточную ме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мбрану, либо ферменты лизосом разрушают клеточную стенку). </w:t>
      </w:r>
    </w:p>
    <w:p w:rsidR="009D3231" w:rsidRDefault="00E47FBB">
      <w:pPr>
        <w:pStyle w:val="normal0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Выброс продуктов расщепления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Фагоцит формирует везикулу с отходами расщепления объекта, по микротрубочкам белки перемещают ее к мембране, а дальше происходит выпячивание мембраны, и отходы фагоцит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оза уже оказываются за пределами клетки.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inline distB="114300" distT="114300" distL="114300" distR="114300">
              <wp:extent cx="5734050" cy="3708400"/>
              <wp:effectExtent b="0" l="0" r="0" t="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5734050" cy="3708400"/>
                        <a:chOff x="152400" y="152400"/>
                        <a:chExt cx="5734050" cy="3692875"/>
                      </a:xfrm>
                    </wpg:grpSpPr>
                    <pic:pic>
                      <pic:nvPicPr>
                        <pic:cNvPr id="6" name="Shape 6"/>
                        <pic:cNvPicPr preferRelativeResize="0"/>
                      </pic:nvPicPr>
                      <pic:blipFill>
                        <a:blip r:embed="rId6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5734050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7" name="Shape 7"/>
                      <wps:spPr>
                        <a:xfrm>
                          <a:off x="1519425" y="3252775"/>
                          <a:ext cx="3000000" cy="59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highlight w:val="white"/>
                                <w:vertAlign w:val="baseline"/>
                              </w:rPr>
                              <w:t xml:space="preserve">Рис. 1. Полный цикл поглощения фагоцитом инородного объекта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inline>
          </w:drawing>
        </mc:Choice>
        <ve:Fallback>
          <w:r>
            <w:rPr>
              <w:rFonts w:ascii="Times New Roman" w:eastAsia="Times New Roman" w:hAnsi="Times New Roman" w:cs="Times New Roman"/>
              <w:i/>
              <w:noProof/>
              <w:sz w:val="24"/>
              <w:szCs w:val="24"/>
              <w:highlight w:val="white"/>
              <w:lang w:val="ru-RU"/>
            </w:rPr>
            <w:drawing>
              <wp:inline distT="114300" distB="114300" distL="114300" distR="114300">
                <wp:extent cx="5734050" cy="3708400"/>
                <wp:effectExtent l="0" t="0" r="0" b="0"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3708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1.2 Фагоцитирующие клетки беспозвоночных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Иммунные клетки беспозвоночных называются гемоцитами. У водных беспозвоночных принято выделять 2 типа гемоцитов: гранулярные клетки и гиалиновые клетки, но иногда обознача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ют и третий тип гемоцитов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— полугранулярные клетки [10].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Гранулярные клетки содержат в белковые гранулы. Гранулоциты и полугранулоциты разрушают эукариотические клетки. У различных типов беспозвоночных животных наблюдаются гемоциты, выполняющие функции фаг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оцитов, немного различающиеся по строению и механизмам работы. Рассмотрим механизмы фагоцитоза Одноклеточных, Кишечнополостных, Кольчатых червей, Моллюсков и Членистоногих. В Приложении 2 представлена таблица гемоцитов отрядов некоторых типов беспозвоночны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 животных [11].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Фагоцитоз Одноклеточных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Для Одноклеточных фагоцитоз выполняет и защитную, и пищеварительную функции, поглощая другие одноклеточные организмы, путем впячивания мембраны [3].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Фагоцитоз Кишечнополостных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 представителей типа Кишечнополостных фагоцитоз так же, как и у Одноклеточных является инструментом защиты и пищеварения. Клетки, выстилающие внутреннюю полость тела, энтодермы, поглощая полученные частицы пищи фагоцитозом, осуществляют «клеточное пищевар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ение».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Фагоцитоз Кольчатых червей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У земляных червей были обнаружены целломоциты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—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крупные клетки, похожие на амебоциты, способные к фагоцитозу.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Фагоцитоз Моллюсков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исследовании [4] о морфологических различиях в гемоцитах представителей типа Моллюски б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ыли выделены гемоциты типа I, обладающие большими и подвижными псевдоподиями, активно передвигающиеся. Из описанных морфологических особенностей гемоцитов можно сделать вывод о способности к фагоцитозу. На основе анализа функциональных особенностей были вы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делены фагоцитирующие клетки.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Фагоцитоз Членистоногих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Как показывает исследование гемоцитов отряда, входящего в тип Членистоногие, преобладающими фагоцитарными клетками являются амёбоциты. «Амебоцит – круглая или овальная клетка, цитоплазма которой заполне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 мелкими гранулами. Ядро крупное, может занимать как центральное, так и периферическое положение. Амебоциты способны образовывать множество псевдоподий, активно передвигаются, распластываются на субстрате медленно.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Амебоциты представителей отряда Heterop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tera являются клетками, способными к фагоцитарным реакциям. В ходе исследований были определены фагоцитарный индекс, фагоцитарное число и индекс адгезии амебоцитов в норме и при осмотической нагрузке (таблица 1)» (см. Приложение 1) [5].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Отдельно стоит выде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лить фагоцитирующие клетки табачного бражника (Manduca Sexta) отряда чешуекрылых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(рис. 2)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В гемолимфе личинок этой бабочки были найдены [6] так называемые гиперфагоцитирующие гемоциты, выполняющие 80% фагоцитоза в организме. Остальные 20% распределены меж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ду гранулярными клетками и плазмоцитами [6]. 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3048000</wp:posOffset>
              </wp:positionH>
              <wp:positionV relativeFrom="paragraph">
                <wp:posOffset>581025</wp:posOffset>
              </wp:positionV>
              <wp:extent cx="2681288" cy="3294561"/>
              <wp:effectExtent b="0" l="0" r="0" t="0"/>
              <wp:wrapSquare wrapText="bothSides" distB="114300" distT="114300" distL="114300" distR="114300"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42575" y="152400"/>
                        <a:ext cx="2681288" cy="3294561"/>
                        <a:chOff x="142575" y="152400"/>
                        <a:chExt cx="3132350" cy="3854150"/>
                      </a:xfrm>
                    </wpg:grpSpPr>
                    <wps:wsp>
                      <wps:cNvSpPr txBox="1"/>
                      <wps:cNvPr id="8" name="Shape 8"/>
                      <wps:spPr>
                        <a:xfrm>
                          <a:off x="247150" y="3259250"/>
                          <a:ext cx="2923200" cy="74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Рис. 2. Бактерии E. Coli, поглощенные гиперфагоцитирующими гемоцитами табачного бражника (Manduca Sexta) [6]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id="9" name="Shape 9"/>
                        <pic:cNvPicPr preferRelativeResize="0"/>
                      </pic:nvPicPr>
                      <pic:blipFill rotWithShape="1">
                        <a:blip r:embed="rId8">
                          <a:alphaModFix/>
                        </a:blip>
                        <a:srcRect b="4781" l="25080" r="22263" t="9843"/>
                        <a:stretch/>
                      </pic:blipFill>
                      <pic:spPr>
                        <a:xfrm>
                          <a:off x="142575" y="152400"/>
                          <a:ext cx="3132350" cy="316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ve:Fallback>
          <w:r>
            <w:rPr>
              <w:noProof/>
              <w:lang w:val="ru-RU"/>
            </w:rPr>
            <w:drawing>
              <wp:anchor distT="114300" distB="114300" distL="114300" distR="114300" simplePos="0" relativeHeight="25165824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581025</wp:posOffset>
                </wp:positionV>
                <wp:extent cx="2681288" cy="3294561"/>
                <wp:effectExtent l="0" t="0" r="0" b="0"/>
                <wp:wrapSquare wrapText="bothSides" distT="114300" distB="114300" distL="114300" distR="114300"/>
                <wp:docPr id="4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1288" cy="32945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D3231" w:rsidRDefault="009D3231">
      <w:pPr>
        <w:pStyle w:val="normal0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D3231" w:rsidRDefault="009D3231">
      <w:pPr>
        <w:pStyle w:val="normal0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D3231" w:rsidRDefault="00E47FBB">
      <w:pPr>
        <w:pStyle w:val="normal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br w:type="page"/>
      </w:r>
    </w:p>
    <w:p w:rsidR="009D3231" w:rsidRDefault="00E47FBB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ГЛАВА 2. Фагоцитоз и человек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2.1 Фагоцитирующие клетки в организме человека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Фагоциты в организме человека активируют воспаление, вызванное попаданием инородного тела. Активными фагоцитирующими клетками 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вляются нейтрофилы, моноциты, тканевые макрофаги, тучные клетки и дендритные клетки, все они относятся к белым клеткам крови, лейкоцитам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(рис. 3)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[7].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1781175</wp:posOffset>
              </wp:positionH>
              <wp:positionV relativeFrom="paragraph">
                <wp:posOffset>1009650</wp:posOffset>
              </wp:positionV>
              <wp:extent cx="3952875" cy="3209925"/>
              <wp:effectExtent b="0" l="0" r="0" t="0"/>
              <wp:wrapSquare wrapText="bothSides" distB="114300" distT="11430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363" y="152400"/>
                        <a:ext cx="3952875" cy="3209925"/>
                        <a:chOff x="152363" y="152400"/>
                        <a:chExt cx="3933900" cy="3024025"/>
                      </a:xfrm>
                    </wpg:grpSpPr>
                    <pic:pic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0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93382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3" name="Shape 3"/>
                      <wps:spPr>
                        <a:xfrm>
                          <a:off x="152363" y="2704525"/>
                          <a:ext cx="3933900" cy="4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Рис. 3. Схема классификации лейкоцитов (фагоцитраные функции выполняют моноциты, нейтрофилы)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ve:Fallback>
          <w:r>
            <w:rPr>
              <w:noProof/>
              <w:lang w:val="ru-RU"/>
            </w:rPr>
            <w:drawing>
              <wp:anchor distT="114300" distB="114300" distL="114300" distR="114300" simplePos="0" relativeHeight="25165926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1009650</wp:posOffset>
                </wp:positionV>
                <wp:extent cx="3952875" cy="3209925"/>
                <wp:effectExtent l="0" t="0" r="0" b="0"/>
                <wp:wrapSquare wrapText="bothSides" distT="114300" distB="114300" distL="114300" distR="11430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2875" cy="3209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Нейтрофилы 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Нейтрофилы — самый многочисленный вид лейкоцитов, имеют дробленое на 3-5 сегментов ядро, основная функция — фагоцитоз. Для расщепления бактерий и отмерших клеток тканей они используют лизосомальные ферменты (протеазу, пептидазу, оксидазу). Нейтрофилы можно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отличить от других гранулоцитов путём окрашивания, т.к. эозинофилы окрашиваются только кислотными красителями, базофилы — основными, а именно эти фагоцитирующие лейкоциты окрашиваются и основными, и кислотными [7].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Моноциты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Моноциты — самые большие клетк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периферической крови, имеют подкововидное ядро, основная функция — фагоцитоз и очищение зоны воспаления для последующей регенерации. В отличие от нейтрофилов, моноциты могут выполнять свою функцию даже в кислотной среде [7].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Тучные клетки (мастоциты)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Большинство из них округлой или овальной формы, ядро повторяет очертания клетки» [8]. Основной функцией тучных клеток является активация воспаления и синтез/накопление биологически активных веществ для регуляции местного гомеостаза, конечно же присутствует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фагоцитарная функция. Тучные клетки в основном расположены в покровных тканях, относятся к гранулоцитам. При активации они дегранулируются, выбрасывая биологически активные вещества, направленные на борьбу с патогеном (например, гистамин, протеазы: химаза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триптаза 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альфа-фактор некроза опухоли [12].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Тучные клетки имеют костномозговое происхождение, как базофилы. 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Дендритные клетки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Дендритные клетки — большие подвижные клетки с большим количеством цитоплазматических выростов. Дендритные клетки формируют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ся в костном мозге.  Основной функцией является инициация врожденного и приобретенного иммунитета. ДК относятся к АПК (антигенпрезентирующие клетки), что значит, что они могут поглощать антигены, расщеплять их до фрагментов и передавать информацию о данном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антигене Т-лимфоцитам для активации иммунного ответа. Стоит заметить, что фагоцитозом антигенов занимаются незрелые дендритные клетки, а презентацией расщепленных антигенов — зрелые ДК [9]. Дендритные клетки, как и моноциты, развиваются из недифференциров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анной гемопоэтической стволовой клетки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(рис. 4)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3314700</wp:posOffset>
              </wp:positionH>
              <wp:positionV relativeFrom="paragraph">
                <wp:posOffset>976500</wp:posOffset>
              </wp:positionV>
              <wp:extent cx="2419350" cy="3152775"/>
              <wp:effectExtent b="0" l="0" r="0" t="0"/>
              <wp:wrapSquare wrapText="bothSides" distB="114300" distT="114300" distL="114300" distR="11430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2419350" cy="3152775"/>
                        <a:chOff x="152400" y="152400"/>
                        <a:chExt cx="2400300" cy="3136800"/>
                      </a:xfrm>
                    </wpg:grpSpPr>
                    <pic:pic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12">
                          <a:alphaModFix/>
                        </a:blip>
                        <a:srcRect b="0" l="20264" r="47177" t="47073"/>
                        <a:stretch/>
                      </pic:blipFill>
                      <pic:spPr>
                        <a:xfrm>
                          <a:off x="152400" y="152400"/>
                          <a:ext cx="24003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5" name="Shape 5"/>
                      <wps:spPr>
                        <a:xfrm>
                          <a:off x="447750" y="2590800"/>
                          <a:ext cx="1809600" cy="69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Рис. 4. Схема развития дендритной клетки из стволовой клетки [9]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ve:Fallback>
          <w:r>
            <w:rPr>
              <w:noProof/>
              <w:lang w:val="ru-RU"/>
            </w:rPr>
            <w:drawing>
              <wp:anchor distT="114300" distB="114300" distL="114300" distR="114300" simplePos="0" relativeHeight="25166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976500</wp:posOffset>
                </wp:positionV>
                <wp:extent cx="2419350" cy="3152775"/>
                <wp:effectExtent l="0" t="0" r="0" b="0"/>
                <wp:wrapSquare wrapText="bothSides" distT="114300" distB="114300" distL="114300" distR="11430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350" cy="3152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2.2 Потенциальное использование механизмов работы фагоцитов в других организмах</w:t>
      </w:r>
    </w:p>
    <w:p w:rsidR="009D3231" w:rsidRDefault="00E47FBB">
      <w:pPr>
        <w:pStyle w:val="normal0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Особый интерес для потенциального практического использования в сфере медицины представляют гиперфагоцитирующие гемоциты таба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чного бражника. Благодаря более интенсивному поглощению объектов, по сравнению с нейтрофилами и моноцитами человека, исследование этих особых фагоцитов поможет выявить механизмы, обеспечивающие высокую эффективность фагоцитоза, увеличивающие поглощающую сп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особность человеческих фагоцитов. Такая технология потенциально сократит смертность от быстропротекающих воспалений, когда обычные человеческие фагоциты попросту не справляются. </w:t>
      </w:r>
    </w:p>
    <w:p w:rsidR="009D3231" w:rsidRDefault="009D3231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D3231" w:rsidRDefault="00E47FBB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9D3231" w:rsidRDefault="00E47FBB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ВЫВОДЫ</w:t>
      </w:r>
    </w:p>
    <w:p w:rsidR="009D3231" w:rsidRDefault="00E47FBB">
      <w:pPr>
        <w:pStyle w:val="normal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Процесс фагоцитоза включает в себя 5 стадий: сближение фагоцита и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объекта фагоцитоза, адгезия, поглощение, расщепление, выброс продуктов расщепления.</w:t>
      </w:r>
    </w:p>
    <w:p w:rsidR="009D3231" w:rsidRDefault="00E47FBB">
      <w:pPr>
        <w:pStyle w:val="normal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Фагоцитирующие клетки различаются по строению и функциям. Клетки, играющие ведущую роль в фагоцитозе менее развитых организмов (Одноклеточные, Кишечнополостные), выполняют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как пищеварительную, так и защитную функцию, в то время как такие клетки остальных животных выполняют в основном фагоцитарную функцию.</w:t>
      </w:r>
    </w:p>
    <w:p w:rsidR="009D3231" w:rsidRDefault="00E47FBB">
      <w:pPr>
        <w:pStyle w:val="normal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Одноклеточным организмам и некоторым представителям Членистоногих характерна амебоподобная форма строения фагоцитов, способная изменять форму своих псевдоподий. У табачных бражников были найдены особые гиперфагоцитирующие гемоциты, способные поглощать увел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иченные, по сравнению с обычными фагоцитами этого вида, объемы инородных объектов. Среди человеческих лейкоцитов можно выделить 4 типа фагоцитов: моноциты, нейтрофилы, дендритные клетки и тучные клетки.</w:t>
      </w:r>
    </w:p>
    <w:p w:rsidR="009D3231" w:rsidRDefault="00E47FBB">
      <w:pPr>
        <w:pStyle w:val="normal0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Исследования, проведенные на фагоцитирующих клетках 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ичинок Табачного бражника, помогают моделировать ситуации для последующего использования полученных сведений человеком.</w:t>
      </w:r>
    </w:p>
    <w:p w:rsidR="009D3231" w:rsidRDefault="009D3231">
      <w:pPr>
        <w:pStyle w:val="normal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D3231" w:rsidRDefault="00E47FBB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ЗАКЛЮЧЕНИЕ</w:t>
      </w:r>
    </w:p>
    <w:p w:rsidR="009D3231" w:rsidRDefault="00E47FBB">
      <w:pPr>
        <w:pStyle w:val="normal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Итак, исследование и изучение животных фагоцитов помогает моделировать некоторые воспалительные процессы, при которых от фа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гоцитов человека требуется повышенная интенсивность поглощения. Такая возможность связана со схожестью в строении и общих принципах работы фагоцитирующих клеток высших животных и человека. Также морфофизиологические характеристики некоторых видов фагоцитов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были бы очень полезны для перенесения на человеческие фагоциты. Например, усиленная способность к поглощению объектов у некоторого вида гемоцитов членистоногих может потенциально помочь спасать человеческие жизни, останавливая быстропротекающие воспаления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:rsidR="009D3231" w:rsidRDefault="00E47FBB">
      <w:pPr>
        <w:pStyle w:val="normal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9D3231" w:rsidRDefault="00E47FBB">
      <w:pPr>
        <w:pStyle w:val="normal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СПИСОК ЛИТЕРАТУРЫ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Биологический энциклопедический словарь // Гл. ред. М .С. Гиляров. М ., "Сов. энциклопедия ", 1989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Российские Нобелевские лауреаты: Илья Ильич Мечников // Т.И. Ульянкина, Архив Российской академии наук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Литвицкий П.Ф., Синельникова Т.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Г. // Врожденный иммунитет: механизмы реализации и патологические синдромы. Часть 3. – Вопросы современной педиатрии. – 2009.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Присный А.А., Пигалева Т.А., Кулько С.В. Морфофункциональные особенности гемоцитов сухопутных брюхоногих моллюсков  // Фундаментал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ьные исследования. – 2011. – № 5. – С. 206-210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Присный А.А Морфофункциональные свойства гемоцитов представителей отряда Heteroptera // Научный результат, Физиология. – 2016. – №3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P. Deana, U. Potter, E.H. Richards, J.P. Edwards, A.K. Charnley, S.E. Reynolds, Hyperphagocytic haemocytes in Manduca Sexta // Journal of Insect Physiology 50 (2004)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Рабаданова А.И. Курс лекций по дисциплине: «Физиология человека и животных». V. Лейкоциты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 лейкоцитарная формула. Роль лейкоцитов в защите организма // ЭОР ДГУ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М.А. Челомбитько, А.В. Федоров, О.П. Ильинская, Р.А. Зиновкин, Б.В. Черняк Роль активных форм кислорода в дегрануляции тучных клеток // Биохимия .— 2017 .— №1 .— С. 19-34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Грищенко Е.А.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Дендритные клетки: основные представления // Аллергология и Иммунология в Педиатрии. – июнь 2015. – №2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Wu, F., Xie, Z., Yan, M. // Classification and characterization of hemocytes from two Asian horseshoe crab species Tachypleus tridentatus and Carcinoscor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pius rotundicauda. Sci Rep 9, 7095 (2019)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Smith, V. J. (2016) // Immunology of Invertebrates: Cellular. eLS, 1–13.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Mirjam Urb1 , Donald C. Sheppard // The Role of Mast Cells in the Defence against Pathogens. – PLoS Pathogens. – v.8(4); 2012 Apr</w:t>
      </w:r>
    </w:p>
    <w:p w:rsidR="009D3231" w:rsidRDefault="00E47FBB">
      <w:pPr>
        <w:pStyle w:val="normal0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А.М. Рубцов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Роль саркоплазматического ретикулума в регуляции сократительной активности мышц // Биология. - 2000.</w:t>
      </w:r>
    </w:p>
    <w:p w:rsidR="009D3231" w:rsidRDefault="00E47FBB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9D3231" w:rsidRDefault="00E47FBB">
      <w:pPr>
        <w:pStyle w:val="normal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Приложение 1</w:t>
      </w:r>
    </w:p>
    <w:p w:rsidR="009D3231" w:rsidRDefault="00E47FBB">
      <w:pPr>
        <w:pStyle w:val="normal0"/>
        <w:jc w:val="center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Таблица 1</w:t>
      </w:r>
    </w:p>
    <w:p w:rsidR="009D3231" w:rsidRDefault="00E47FBB">
      <w:pPr>
        <w:pStyle w:val="normal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noProof/>
          <w:lang w:val="ru-RU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-209549</wp:posOffset>
            </wp:positionH>
            <wp:positionV relativeFrom="paragraph">
              <wp:posOffset>114300</wp:posOffset>
            </wp:positionV>
            <wp:extent cx="6343650" cy="2614613"/>
            <wp:effectExtent l="0" t="0" r="0" b="0"/>
            <wp:wrapSquare wrapText="bothSides" distT="114300" distB="11430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61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3231" w:rsidRDefault="009D3231">
      <w:pPr>
        <w:pStyle w:val="normal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9D3231" w:rsidRDefault="009D3231">
      <w:pPr>
        <w:pStyle w:val="normal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sectPr w:rsidR="009D3231" w:rsidSect="009D323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6DFE"/>
    <w:multiLevelType w:val="multilevel"/>
    <w:tmpl w:val="0EF886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0AC7097"/>
    <w:multiLevelType w:val="multilevel"/>
    <w:tmpl w:val="281C2D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C4D1BF3"/>
    <w:multiLevelType w:val="multilevel"/>
    <w:tmpl w:val="E452DE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F5B1A1F"/>
    <w:multiLevelType w:val="multilevel"/>
    <w:tmpl w:val="B9626B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D3231"/>
    <w:rsid w:val="009D3231"/>
    <w:rsid w:val="00E47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9D323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9D323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9D323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9D323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9D323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9D323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9D3231"/>
  </w:style>
  <w:style w:type="paragraph" w:styleId="Title">
    <w:name w:val="Title"/>
    <w:basedOn w:val="normal0"/>
    <w:next w:val="normal0"/>
    <w:rsid w:val="009D323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9D323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11" Type="http://schemas.openxmlformats.org/officeDocument/2006/relationships/image" Target="media/image3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2234</Words>
  <Characters>12738</Characters>
  <Application>Microsoft Office Word</Application>
  <DocSecurity>0</DocSecurity>
  <Lines>106</Lines>
  <Paragraphs>29</Paragraphs>
  <ScaleCrop>false</ScaleCrop>
  <Company/>
  <LinksUpToDate>false</LinksUpToDate>
  <CharactersWithSpaces>14943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Gennadi Kourkin</dc:creator>
  <cp:lastModifiedBy>gena</cp:lastModifiedBy>
  <cp:revision>2</cp:revision>
  <dcterms:created xsi:type="dcterms:W3CDTF">2020-04-19T08:52:00Z</dcterms:created>
  <dcterms:modified xsi:type="dcterms:W3CDTF">2020-04-19T08:52:00Z</dcterms:modified>
</cp:coreProperties>
</file>