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7CEB6E" w:rsidP="1B7CEB6E" w:rsidRDefault="1B7CEB6E" w14:paraId="3A9FD645" w14:textId="223FC0F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История - наука, безусловно, молодая. Большинство тем ещё просто не были изучены научно, объективно. В истории существует огромное количество ярких событий, которые в представлении не только обывателя, но и специалиста, кажутся предельно простыми и понятными, хотя, на самом деле, суть их до сих пор не раскрыта полностью. Ещё больше не повезло сюжетам масштабным, важным для мирового сообщества. </w:t>
      </w: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Японский милитаризм стал величайшей трагедией для Восточноазиатского региона. Японская экспансия унесла более шестидесяти миллионов человеческих жизней, искалечила людские судьбы.  Однако, в Российских исторических кругах, эта тема неоправданно менее популярна, нежели события на Восточноевропейском театре военных действий. </w:t>
      </w:r>
    </w:p>
    <w:p w:rsidR="1B7CEB6E" w:rsidP="1B7CEB6E" w:rsidRDefault="1B7CEB6E" w14:paraId="6417037E" w14:textId="39FDEA1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 своей дипломной работе я собираюсь рассмотреть причины возникновения этой идеологии, её влияние на менталитет и общее состояние японского общества после краха диктатуры.</w:t>
      </w:r>
    </w:p>
    <w:p w:rsidR="1B7CEB6E" w:rsidP="1B7CEB6E" w:rsidRDefault="1B7CEB6E" w14:paraId="5C4D5135" w14:textId="562F8EC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Данная проблема является актуальной, так как мы являемся свидетелями ренессанса японского национализма, когда после холодной войны, для Японии, по сути, закончился период американской оккупации. Соединенные Штаты отпускают Японию в “свободное плавание”, благодаря чему и усиливаются националистические настроения в обществе.</w:t>
      </w:r>
    </w:p>
    <w:p w:rsidR="1B7CEB6E" w:rsidP="1B7CEB6E" w:rsidRDefault="1B7CEB6E" w14:paraId="71D4BEE6" w14:textId="4C90536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Круг источников был определен задачами исследования и его рамками. Работа пишется на основе документов и фундаментальных исследований:  “Документы внешней политики СССР”, “Мир между двумя войнами”, Донесения Р. Зорге, его статьи , корреспонденции, рецензии, документальные данные в приложении работы японских авторов “История войны на Тихом океане”: “Меморандум премьер-министра Японии </w:t>
      </w:r>
      <w:proofErr w:type="spellStart"/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Танака</w:t>
      </w:r>
      <w:proofErr w:type="spellEnd"/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Гиити</w:t>
      </w:r>
      <w:proofErr w:type="spellEnd"/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”, “Основные принципы национальной политики”, “Антикоминтерновский пакт”, </w:t>
      </w: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“</w:t>
      </w:r>
      <w:hyperlink r:id="Rc8e83129d29d4639">
        <w:r w:rsidRPr="1B7CEB6E" w:rsidR="1B7CEB6E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000000" w:themeColor="text1" w:themeTint="FF" w:themeShade="FF"/>
            <w:sz w:val="24"/>
            <w:szCs w:val="24"/>
            <w:u w:val="none"/>
            <w:lang w:val="ru-RU"/>
          </w:rPr>
          <w:t>Политика великих держав на Дальнем Востоке накануне второй мировой войны</w:t>
        </w:r>
      </w:hyperlink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".</w:t>
      </w:r>
    </w:p>
    <w:p w:rsidR="1B7CEB6E" w:rsidP="1B7CEB6E" w:rsidRDefault="1B7CEB6E" w14:paraId="5FE48756" w14:textId="78B9CAB2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 дипломной работе использована пресса, которая является ценным источником для изучения данной проблемы, взглядов каждой стороны, оценки действий Японии.</w:t>
      </w:r>
      <w:r w:rsidRPr="1B7CEB6E" w:rsidR="1B7CEB6E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Большая ценность этих источников состоит в достоверности сведений по планам, оценкам событий, в которых участвовала милитаристская Япония.</w:t>
      </w:r>
    </w:p>
    <w:p w:rsidR="1B7CEB6E" w:rsidP="1B7CEB6E" w:rsidRDefault="1B7CEB6E" w14:paraId="3B23A0CF" w14:textId="23E23414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54dc-a603-46df-a234-06f8b4e04a2f}"/>
  <w14:docId w14:val="3C5A7CAE"/>
  <w:rsids>
    <w:rsidRoot w:val="3C5A7CAE"/>
    <w:rsid w:val="1B7CEB6E"/>
    <w:rsid w:val="3C5A7C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research.gym1505.ru/node/14001" TargetMode="External" Id="Rc8e83129d29d46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2019-10-18T19:15:17.3143113Z</dcterms:created>
  <dcterms:modified xsi:type="dcterms:W3CDTF">2019-10-18T19:23:26.3402119Z</dcterms:modified>
  <dc:creator>andrzejpoonski</dc:creator>
  <lastModifiedBy>andrzejpoonski</lastModifiedBy>
</coreProperties>
</file>