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7A" w:rsidRPr="005523F9" w:rsidRDefault="00CD6CE9" w:rsidP="00CD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D6CE9" w:rsidRDefault="00CD6CE9" w:rsidP="00CD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предыдущих главах своего реферата я рассказывала о том, что должен в себя включать умный город и по каким принципам он строится, а также о тех технологиях, которые уже внедрены нашим правительством и активно пользуются нашими гражданами. В данной главе я расскажу о прогнозах</w:t>
      </w:r>
      <w:r w:rsidR="00E8027F">
        <w:rPr>
          <w:rFonts w:ascii="Times New Roman" w:hAnsi="Times New Roman" w:cs="Times New Roman"/>
          <w:sz w:val="24"/>
          <w:szCs w:val="24"/>
        </w:rPr>
        <w:t xml:space="preserve"> на ближайшие несколько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F9" w:rsidRDefault="005523F9" w:rsidP="0055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Переход на экологический транспорт</w:t>
      </w:r>
    </w:p>
    <w:p w:rsidR="005523F9" w:rsidRDefault="005523F9" w:rsidP="0055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столица заключила контракт жизненного цикла (КЖЦ) с ПАО «КамАЗ» о поставке 36 ультрабыстрых зарядных станций для 100 электробусов.</w:t>
      </w:r>
      <w:r w:rsidR="00141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48" w:rsidRDefault="00141648" w:rsidP="0055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КЖЦ на поставку и сервисное оборудование электробусов столица заключила весной 2018 с ООО «Русские автобусы – Группа ГАЗ» и «ПАО КамАЗ». Цена данных контрактов составила 12,7 миллиардов рублей. </w:t>
      </w:r>
    </w:p>
    <w:p w:rsidR="005523F9" w:rsidRPr="005523F9" w:rsidRDefault="005523F9" w:rsidP="0055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КЖЦ в транспортной сфере в столице приходится больше половины объема всех проектов – за 5 лет он составил 435 миллиардов рублей. КЖЦ, свою очередь, имеет долгосрочный характер, посему город получает высокое соотношение цены и качества транспорта.</w:t>
      </w:r>
      <w:r w:rsidR="00141648">
        <w:rPr>
          <w:rFonts w:ascii="Times New Roman" w:hAnsi="Times New Roman" w:cs="Times New Roman"/>
          <w:sz w:val="24"/>
          <w:szCs w:val="24"/>
        </w:rPr>
        <w:t xml:space="preserve"> Так же данный контракт подразумевает не только приобретение электробусов, разработанных по госзаказу, но и дальнейший сервис и поставку комплектующих частей в течение 15 лет. Цена контракта составила 6,57 миллиарда рублей.</w:t>
      </w:r>
    </w:p>
    <w:p w:rsidR="005523F9" w:rsidRDefault="00141648" w:rsidP="0055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средства, предоставляемые компанией ПАО «КамАЗ» оснащены оборудованием для перевозки пассажиров с ограниченными возможностями, спутниковой навигацией,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141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разъемы для зарядки мобильных телефонов, системой климат-контроля, а также бесплатным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141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648" w:rsidRDefault="00141648" w:rsidP="0055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Электробусы начали курсировать по улицам города в прошлом году</w:t>
      </w:r>
      <w:r w:rsidR="007D6279">
        <w:rPr>
          <w:rFonts w:ascii="Times New Roman" w:hAnsi="Times New Roman" w:cs="Times New Roman"/>
          <w:sz w:val="24"/>
          <w:szCs w:val="24"/>
        </w:rPr>
        <w:t>. В 2019-2020 власти Москвы планируют закупить 600 автобусов нового образца. В 2021 Москва хочет перейти полностью на электробусы.</w:t>
      </w:r>
    </w:p>
    <w:p w:rsidR="007D6279" w:rsidRDefault="007D6279" w:rsidP="007D6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Последний этап разработки стратегии «Умный город -2030»</w:t>
      </w:r>
    </w:p>
    <w:p w:rsidR="007D6279" w:rsidRDefault="007D6279" w:rsidP="007D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в ДИТ (Департаменте Информационных Технологий) идет обсуждение того, каким образом будут оцениваться успехи построения умного города.</w:t>
      </w:r>
    </w:p>
    <w:p w:rsidR="007D6279" w:rsidRDefault="007D6279" w:rsidP="007D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показателями хотят сделать два индекса – качество жизни и качество городской среды. Именно они позволяют оценивать развитие по всем шести направлениям стратегии «Умный город -2030»</w:t>
      </w:r>
      <w:r w:rsidR="000E35E0">
        <w:rPr>
          <w:rFonts w:ascii="Times New Roman" w:hAnsi="Times New Roman" w:cs="Times New Roman"/>
          <w:sz w:val="24"/>
          <w:szCs w:val="24"/>
        </w:rPr>
        <w:t xml:space="preserve"> - </w:t>
      </w:r>
      <w:r w:rsidR="00114BD8">
        <w:rPr>
          <w:rFonts w:ascii="Times New Roman" w:hAnsi="Times New Roman" w:cs="Times New Roman"/>
          <w:sz w:val="24"/>
          <w:szCs w:val="24"/>
        </w:rPr>
        <w:t>Человеческий и социальный капитал, Городская среда, Цифровая мобильность, Городская экономика, Безопасность и экология, Цифровое правительство), а также сравнивать качество жизни в Москве.</w:t>
      </w:r>
    </w:p>
    <w:p w:rsidR="00114BD8" w:rsidRDefault="00114BD8" w:rsidP="007D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ДИТ пояснил, что индекс качества жизни – комбинированный показатель, который измеряет достижения определенных субъектов РФ, а именно их способность обеспечить благополучную жизнь своим жителям. В свою очередь оценивать способность города </w:t>
      </w:r>
      <w:r w:rsidR="003877BC">
        <w:rPr>
          <w:rFonts w:ascii="Times New Roman" w:hAnsi="Times New Roman" w:cs="Times New Roman"/>
          <w:sz w:val="24"/>
          <w:szCs w:val="24"/>
        </w:rPr>
        <w:t>удовлетворять потребности и запросы горожан поможет индекс качества городской среды.</w:t>
      </w:r>
    </w:p>
    <w:p w:rsidR="003877BC" w:rsidRDefault="003877BC" w:rsidP="007D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из шести направлений (Человеческий и социальный капитал, Городская среда, Цифровая мобильность, Городская экономика, Безопасность и экология, Цифровое правительство) есть дополнительные индексы, которые ориентированы на специфику векторов, включенных в каждое конкретное направление. В рамках обсуждения можно ставить оценки тому, как целесообразно или нет они будут использоваться. Также на каждой странице можно оставлять комментарий.</w:t>
      </w:r>
    </w:p>
    <w:p w:rsidR="003877BC" w:rsidRDefault="003877BC" w:rsidP="007D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ДИТ, в обсуждении приняло участие около 30 000 экспертов и представителей бизнес сферы. Авторам проекта, на данный момент было отправлено примерно 400 замечаний, предложений и комментариев. </w:t>
      </w:r>
    </w:p>
    <w:p w:rsidR="003877BC" w:rsidRDefault="003877BC" w:rsidP="007D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прошлого года стратегия «Умный город – 2030» обсуждалась с международными экспертами и мировыми лидерами в области городской информатизации.</w:t>
      </w:r>
      <w:r w:rsidR="00A34A90">
        <w:rPr>
          <w:rFonts w:ascii="Times New Roman" w:hAnsi="Times New Roman" w:cs="Times New Roman"/>
          <w:sz w:val="24"/>
          <w:szCs w:val="24"/>
        </w:rPr>
        <w:t xml:space="preserve"> В июле программу обсуждали с горожанами на </w:t>
      </w:r>
      <w:r w:rsidR="00A34A90">
        <w:rPr>
          <w:rFonts w:ascii="Times New Roman" w:hAnsi="Times New Roman" w:cs="Times New Roman"/>
          <w:sz w:val="24"/>
          <w:szCs w:val="24"/>
          <w:lang w:val="en-US"/>
        </w:rPr>
        <w:t>crowd</w:t>
      </w:r>
      <w:r w:rsidR="00A34A90" w:rsidRPr="00A34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A90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="00A34A90" w:rsidRPr="00A34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BC" w:rsidRPr="00114BD8" w:rsidRDefault="00A34A90" w:rsidP="007D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подводить итог, то «Умный город – 2030»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00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высокоуровневый документ стратегического назначения, который разрабатывается с привлечением экспертов и бизнес- сообщества ДИТ Москвы. В документе определяются цели, направления и задачи дальнейшего развития столицы как инновационного умного города будущего.</w:t>
      </w:r>
    </w:p>
    <w:p w:rsidR="00A34A90" w:rsidRDefault="00A34A90" w:rsidP="00A3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Стратегия Москвы «Умный город – 2030»</w:t>
      </w:r>
    </w:p>
    <w:p w:rsidR="00A34A90" w:rsidRDefault="00A34A90" w:rsidP="00A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900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предлагаю ознакомиться с самой стратегией, которая размещена в общем доступе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A34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00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5A0" w:rsidRDefault="009005A0" w:rsidP="00A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Создатели проекта дают определение Москве 2030 таким образом: «Москва 2030 – это инновационный город, </w:t>
      </w:r>
      <w:r w:rsidRPr="009005A0">
        <w:rPr>
          <w:rFonts w:ascii="Times New Roman" w:hAnsi="Times New Roman" w:cs="Times New Roman"/>
          <w:sz w:val="24"/>
          <w:szCs w:val="24"/>
        </w:rPr>
        <w:t>использующий цифровые технологии для повышения уровня жизни, эффективности деятельности и услуг в городе, а также конкурентоспособности при обеспечении удовлетворения потребностей настоящего и будущих поколений в экономических, социальных, культурных и природоохранных аспектах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9005A0" w:rsidRDefault="009005A0" w:rsidP="00A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обозначены цели данной стратегии:</w:t>
      </w:r>
    </w:p>
    <w:p w:rsidR="009005A0" w:rsidRDefault="009005A0" w:rsidP="00900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устойчивого роста качества жизни москвичей и благоприятных условий ведения предпринимательской и иной деятельности.</w:t>
      </w:r>
    </w:p>
    <w:p w:rsidR="009005A0" w:rsidRDefault="009005A0" w:rsidP="00900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Централизованное, сквозное и прозрачное управление городом.</w:t>
      </w:r>
    </w:p>
    <w:p w:rsidR="009005A0" w:rsidRDefault="009005A0" w:rsidP="00900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государственных расходов, в том числе за счет внедрения государственно-частного партнерства.</w:t>
      </w:r>
    </w:p>
    <w:p w:rsidR="009005A0" w:rsidRDefault="009005A0" w:rsidP="00900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0AF" w:rsidRDefault="009005A0" w:rsidP="009005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оценки стратегии «Умный город – 2030» являются индекс качества жизни и индекс качества городской среды. Факторами и метрик</w:t>
      </w:r>
      <w:r w:rsidR="003350A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индекса качества жизни являются:</w:t>
      </w:r>
      <w:r w:rsidR="0033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материальное благополучие, здоровье, общественная стабильность и безопасность, семейная жизнь, </w:t>
      </w:r>
      <w:r w:rsidR="003350AF">
        <w:rPr>
          <w:rFonts w:ascii="Times New Roman" w:hAnsi="Times New Roman" w:cs="Times New Roman"/>
          <w:sz w:val="24"/>
          <w:szCs w:val="24"/>
        </w:rPr>
        <w:t>общественная жизнь, климат и география, гарантия работы, гендерное равенство, образование, экология, безопасность, удовлетворённость, работа и отдых, гражданские права.</w:t>
      </w:r>
    </w:p>
    <w:p w:rsidR="00D46703" w:rsidRDefault="003350AF" w:rsidP="00D467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703">
        <w:rPr>
          <w:rFonts w:ascii="Times New Roman" w:hAnsi="Times New Roman" w:cs="Times New Roman"/>
          <w:sz w:val="24"/>
          <w:szCs w:val="24"/>
        </w:rPr>
        <w:t xml:space="preserve">Типы оцениваемых пространств </w:t>
      </w:r>
      <w:r>
        <w:rPr>
          <w:rFonts w:ascii="Times New Roman" w:hAnsi="Times New Roman" w:cs="Times New Roman"/>
          <w:sz w:val="24"/>
          <w:szCs w:val="24"/>
        </w:rPr>
        <w:t xml:space="preserve">для определения индекса качества городской среды являются: </w:t>
      </w:r>
      <w:r w:rsidR="00D46703">
        <w:rPr>
          <w:rFonts w:ascii="Times New Roman" w:hAnsi="Times New Roman" w:cs="Times New Roman"/>
          <w:sz w:val="24"/>
          <w:szCs w:val="24"/>
        </w:rPr>
        <w:t>жилые и прилегающие пространства, озеленения и водные пространства, уличная инфраструктура, общественно-деловая инфраструктура. Критериями для оценивания каждого из вышеперечисленного пространств являются: безопасность, комфорт, экологичность, идентичность и разнообразие, современность среды.</w:t>
      </w:r>
    </w:p>
    <w:p w:rsidR="00D46703" w:rsidRDefault="00D46703" w:rsidP="00D46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703" w:rsidRDefault="00D46703" w:rsidP="00D467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стратегии «Умный город – 2030» имеется 6 направлений: Городская среда, Цифровая мобильность, Городская экономика</w:t>
      </w:r>
      <w:r w:rsidR="00DC040D">
        <w:rPr>
          <w:rFonts w:ascii="Times New Roman" w:hAnsi="Times New Roman" w:cs="Times New Roman"/>
          <w:sz w:val="24"/>
          <w:szCs w:val="24"/>
        </w:rPr>
        <w:t>, Безопасность и экология, Цифровое правительство, Человеческий и социальный капитал,</w:t>
      </w:r>
    </w:p>
    <w:p w:rsidR="00DC040D" w:rsidRPr="00DC040D" w:rsidRDefault="00DC040D" w:rsidP="00D4670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40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Городскую среду входят: </w:t>
      </w:r>
    </w:p>
    <w:p w:rsid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Градостроительство</w:t>
      </w:r>
    </w:p>
    <w:p w:rsid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</w:t>
      </w:r>
    </w:p>
    <w:p w:rsidR="00DC040D" w:rsidRDefault="00DC040D" w:rsidP="00DC040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Цифровую мобильность входят:</w:t>
      </w:r>
    </w:p>
    <w:p w:rsid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</w:p>
    <w:p w:rsid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и связь</w:t>
      </w:r>
    </w:p>
    <w:p w:rsid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</w:t>
      </w:r>
    </w:p>
    <w:p w:rsidR="00DC040D" w:rsidRDefault="00DC040D" w:rsidP="00DC040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Городскую экономику входят:</w:t>
      </w:r>
    </w:p>
    <w:p w:rsidR="00DC040D" w:rsidRP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DC040D" w:rsidRP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DC040D" w:rsidRPr="00DC040D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Торговля и услуги</w:t>
      </w:r>
    </w:p>
    <w:p w:rsidR="00DC040D" w:rsidRPr="009118F3" w:rsidRDefault="00DC040D" w:rsidP="00DC0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Инновации</w:t>
      </w:r>
    </w:p>
    <w:p w:rsidR="009118F3" w:rsidRDefault="009118F3" w:rsidP="009118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Безопасность и экологию входят:</w:t>
      </w:r>
    </w:p>
    <w:p w:rsidR="009118F3" w:rsidRDefault="009118F3" w:rsidP="00911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9118F3" w:rsidRDefault="009118F3" w:rsidP="00911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9118F3" w:rsidRDefault="009118F3" w:rsidP="009118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Цифровое правительство входят</w:t>
      </w:r>
      <w:r w:rsidR="00C34D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4DF2" w:rsidRPr="00C34DF2" w:rsidRDefault="00C34DF2" w:rsidP="00C34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Деятельность Правительства</w:t>
      </w:r>
    </w:p>
    <w:p w:rsidR="00C34DF2" w:rsidRPr="00C34DF2" w:rsidRDefault="00C34DF2" w:rsidP="00C34D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Открытое Правительство</w:t>
      </w:r>
    </w:p>
    <w:p w:rsidR="00C34DF2" w:rsidRDefault="00C34DF2" w:rsidP="00C34DF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Человеческий и социальный капитал входят:</w:t>
      </w:r>
    </w:p>
    <w:p w:rsidR="00C34DF2" w:rsidRDefault="00C77C68" w:rsidP="00C7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</w:t>
      </w:r>
    </w:p>
    <w:p w:rsidR="00C77C68" w:rsidRDefault="00C77C68" w:rsidP="00C7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C77C68" w:rsidRDefault="00C77C68" w:rsidP="00C7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C77C68" w:rsidRDefault="00C77C68" w:rsidP="00C77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</w:t>
      </w:r>
    </w:p>
    <w:p w:rsidR="00C77C68" w:rsidRPr="00694CB2" w:rsidRDefault="00EE7D55" w:rsidP="00EE7D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Человеческий и социальный капитал в 2030</w:t>
      </w:r>
    </w:p>
    <w:p w:rsidR="00C77C68" w:rsidRPr="00EE7D55" w:rsidRDefault="00C77C68" w:rsidP="00C77C6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D55">
        <w:rPr>
          <w:rFonts w:ascii="Times New Roman" w:hAnsi="Times New Roman" w:cs="Times New Roman"/>
          <w:b/>
          <w:i/>
          <w:sz w:val="24"/>
          <w:szCs w:val="24"/>
        </w:rPr>
        <w:t xml:space="preserve">Персональные возможности для жизни и развития </w:t>
      </w:r>
    </w:p>
    <w:p w:rsidR="00C77C68" w:rsidRDefault="00C77C68" w:rsidP="00C77C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Здравоохранение</w:t>
      </w:r>
    </w:p>
    <w:p w:rsidR="00C77C68" w:rsidRDefault="00C77C68" w:rsidP="00C77C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Появятся генная терапия и дистанционный мониторинг состояния здоровья</w:t>
      </w:r>
      <w:r w:rsidR="001A18CD">
        <w:rPr>
          <w:rFonts w:ascii="Times New Roman" w:hAnsi="Times New Roman" w:cs="Times New Roman"/>
          <w:sz w:val="24"/>
          <w:szCs w:val="24"/>
        </w:rPr>
        <w:t xml:space="preserve">. Так же появятся экзоскелеты и </w:t>
      </w:r>
      <w:proofErr w:type="spellStart"/>
      <w:r w:rsidR="001A18CD">
        <w:rPr>
          <w:rFonts w:ascii="Times New Roman" w:hAnsi="Times New Roman" w:cs="Times New Roman"/>
          <w:sz w:val="24"/>
          <w:szCs w:val="24"/>
        </w:rPr>
        <w:t>нанороботы</w:t>
      </w:r>
      <w:proofErr w:type="spellEnd"/>
      <w:r w:rsidR="001A18CD">
        <w:rPr>
          <w:rFonts w:ascii="Times New Roman" w:hAnsi="Times New Roman" w:cs="Times New Roman"/>
          <w:sz w:val="24"/>
          <w:szCs w:val="24"/>
        </w:rPr>
        <w:t>.</w:t>
      </w:r>
    </w:p>
    <w:p w:rsidR="001A18CD" w:rsidRDefault="001A18CD" w:rsidP="00C77C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1A18CD" w:rsidRDefault="001A18CD" w:rsidP="00C77C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появится индивидуальная траектория обучения и сервисы непрерывного повышения компетенций.</w:t>
      </w:r>
    </w:p>
    <w:p w:rsidR="001A18CD" w:rsidRDefault="001A18CD" w:rsidP="00C77C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</w:p>
    <w:p w:rsidR="001A18CD" w:rsidRDefault="001A18CD" w:rsidP="00C77C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 появятся интерактивные экскурсии и виртуальные путешествия.</w:t>
      </w:r>
    </w:p>
    <w:p w:rsidR="001A18CD" w:rsidRDefault="001A18CD" w:rsidP="00C77C6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Социальная сфера</w:t>
      </w:r>
    </w:p>
    <w:p w:rsidR="001A18CD" w:rsidRDefault="00577858" w:rsidP="00C77C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 xml:space="preserve">Появятся </w:t>
      </w:r>
      <w:r>
        <w:rPr>
          <w:rFonts w:ascii="Times New Roman" w:hAnsi="Times New Roman" w:cs="Times New Roman"/>
          <w:sz w:val="24"/>
          <w:szCs w:val="24"/>
        </w:rPr>
        <w:t>персонифицированные социальные услуги и адресная поддержка.</w:t>
      </w:r>
    </w:p>
    <w:p w:rsidR="00577858" w:rsidRDefault="00EE7D55" w:rsidP="005778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577858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2030</w:t>
      </w:r>
    </w:p>
    <w:p w:rsidR="00EE7D55" w:rsidRPr="00EE7D55" w:rsidRDefault="00EE7D55" w:rsidP="005778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Комфортная городская среда</w:t>
      </w:r>
    </w:p>
    <w:p w:rsidR="00577858" w:rsidRDefault="00577858" w:rsidP="005778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Градостроительство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BIM технологии в строительстве и эксплуатации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VR / AR / MR инструменты для проектирования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3D-печать элементов городской среды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Генеральное планирование и планирование развития территорий на основе Больших данных и методов Искусственного интеллекта</w:t>
      </w:r>
    </w:p>
    <w:p w:rsidR="00577858" w:rsidRDefault="00577858" w:rsidP="005778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ЖКХ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Датчики Интернета вещей для учета потребления ресурсов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Единая цифровая ЖКХ-платформа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Прозрачность управления снабжением и потреблением</w:t>
      </w:r>
    </w:p>
    <w:p w:rsidR="00577858" w:rsidRDefault="00577858" w:rsidP="005778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Цифровая мобильность</w:t>
      </w:r>
      <w:r w:rsidR="00EE7D55">
        <w:rPr>
          <w:rFonts w:ascii="Times New Roman" w:hAnsi="Times New Roman" w:cs="Times New Roman"/>
          <w:b/>
          <w:sz w:val="24"/>
          <w:szCs w:val="24"/>
        </w:rPr>
        <w:t xml:space="preserve"> в 2030</w:t>
      </w:r>
    </w:p>
    <w:p w:rsidR="00EE7D55" w:rsidRPr="00EE7D55" w:rsidRDefault="00EE7D55" w:rsidP="005778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Физическое и виртуальное присутствие равноценно</w:t>
      </w:r>
    </w:p>
    <w:p w:rsidR="00577858" w:rsidRDefault="00577858" w:rsidP="005778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Транспорт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Нейронные сети в управлении потоками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Мобильность как услуга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Каршеринг, беспилотный транспорт и электромобили</w:t>
      </w:r>
    </w:p>
    <w:p w:rsidR="00577858" w:rsidRDefault="00577858" w:rsidP="005778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Туризм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</w:rPr>
        <w:t>Туристические платформы</w:t>
      </w:r>
    </w:p>
    <w:p w:rsidR="00577858" w:rsidRDefault="00577858" w:rsidP="005778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85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 и связь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Высокоскоростные беспроводные сети без задержек с большим количеством устройств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58">
        <w:rPr>
          <w:rFonts w:ascii="Times New Roman" w:hAnsi="Times New Roman" w:cs="Times New Roman"/>
          <w:sz w:val="24"/>
          <w:szCs w:val="24"/>
        </w:rPr>
        <w:t>Единый идентификатор доступа к государственным и коммерческим услугам</w:t>
      </w:r>
    </w:p>
    <w:p w:rsidR="00577858" w:rsidRDefault="00577858" w:rsidP="00577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858">
        <w:rPr>
          <w:rFonts w:ascii="Times New Roman" w:hAnsi="Times New Roman" w:cs="Times New Roman"/>
          <w:sz w:val="24"/>
          <w:szCs w:val="24"/>
        </w:rPr>
        <w:t>Телеворкинг</w:t>
      </w:r>
      <w:proofErr w:type="spellEnd"/>
      <w:r w:rsidRPr="00577858">
        <w:rPr>
          <w:rFonts w:ascii="Times New Roman" w:hAnsi="Times New Roman" w:cs="Times New Roman"/>
          <w:sz w:val="24"/>
          <w:szCs w:val="24"/>
        </w:rPr>
        <w:t>, виртуальные совещания, удаленные индивидуальные занятия</w:t>
      </w:r>
    </w:p>
    <w:p w:rsidR="00EE7D55" w:rsidRDefault="00EE7D55" w:rsidP="00EE7D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694CB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694CB2" w:rsidRDefault="00694CB2" w:rsidP="00EE7D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Новые бизнес-модели для традиционных сфер экономики</w:t>
      </w:r>
    </w:p>
    <w:p w:rsidR="00694CB2" w:rsidRDefault="00694CB2" w:rsidP="00694CB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Финансы</w:t>
      </w:r>
    </w:p>
    <w:p w:rsidR="00694CB2" w:rsidRP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CB2">
        <w:rPr>
          <w:rFonts w:ascii="Times New Roman" w:hAnsi="Times New Roman" w:cs="Times New Roman"/>
        </w:rPr>
        <w:t xml:space="preserve">Сокращение административных издержек </w:t>
      </w:r>
    </w:p>
    <w:p w:rsidR="00694CB2" w:rsidRP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CB2">
        <w:rPr>
          <w:rFonts w:ascii="Times New Roman" w:hAnsi="Times New Roman" w:cs="Times New Roman"/>
        </w:rPr>
        <w:t xml:space="preserve">Прозрачность финансовых транзакций </w:t>
      </w:r>
    </w:p>
    <w:p w:rsidR="00694CB2" w:rsidRP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CB2">
        <w:rPr>
          <w:rFonts w:ascii="Times New Roman" w:hAnsi="Times New Roman" w:cs="Times New Roman"/>
        </w:rPr>
        <w:t>Онлайн отчетность в реальном времени</w:t>
      </w:r>
    </w:p>
    <w:p w:rsidR="00694CB2" w:rsidRDefault="00694CB2" w:rsidP="00694CB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694CB2" w:rsidRP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 xml:space="preserve">Решения по роботизации бизнес-процессов </w:t>
      </w:r>
    </w:p>
    <w:p w:rsidR="00694CB2" w:rsidRP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>Аддитивное производство</w:t>
      </w:r>
    </w:p>
    <w:p w:rsidR="00577858" w:rsidRDefault="00694CB2" w:rsidP="005778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Торговля и услуги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>Новые рынки и каналы сбыта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 xml:space="preserve"> Экономика совместного потребления</w:t>
      </w:r>
    </w:p>
    <w:p w:rsidR="00694CB2" w:rsidRDefault="00694CB2" w:rsidP="00694CB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Инновации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>Технологические платформы и цифровые экосистемы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 xml:space="preserve"> Роботизация низкоквалифицированного труда и типовых операций</w:t>
      </w:r>
    </w:p>
    <w:p w:rsidR="00694CB2" w:rsidRDefault="00694CB2" w:rsidP="00694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и экология</w:t>
      </w:r>
    </w:p>
    <w:p w:rsidR="00694CB2" w:rsidRDefault="00694CB2" w:rsidP="00694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Прогнозирование и предотвращение</w:t>
      </w:r>
    </w:p>
    <w:p w:rsidR="00694CB2" w:rsidRDefault="00694CB2" w:rsidP="00694CB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 xml:space="preserve">Цифровые системы безопасности 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 xml:space="preserve">Предиктивная аналитика </w:t>
      </w:r>
    </w:p>
    <w:p w:rsidR="00694CB2" w:rsidRP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>Центр кибербезопасности</w:t>
      </w:r>
    </w:p>
    <w:p w:rsidR="00694CB2" w:rsidRDefault="00694CB2" w:rsidP="00694CB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>Роботизация сбора и переработки мусора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 xml:space="preserve"> Экологически чистый транспорт</w:t>
      </w:r>
    </w:p>
    <w:p w:rsidR="00694CB2" w:rsidRDefault="00694CB2" w:rsidP="0069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CB2">
        <w:rPr>
          <w:rFonts w:ascii="Times New Roman" w:hAnsi="Times New Roman" w:cs="Times New Roman"/>
          <w:sz w:val="24"/>
          <w:szCs w:val="24"/>
        </w:rPr>
        <w:t>Гиперлокальный</w:t>
      </w:r>
      <w:proofErr w:type="spellEnd"/>
      <w:r w:rsidRPr="00694CB2">
        <w:rPr>
          <w:rFonts w:ascii="Times New Roman" w:hAnsi="Times New Roman" w:cs="Times New Roman"/>
          <w:sz w:val="24"/>
          <w:szCs w:val="24"/>
        </w:rPr>
        <w:t xml:space="preserve"> мониторинг и анализ состояния окружающей среды</w:t>
      </w:r>
    </w:p>
    <w:p w:rsidR="00694CB2" w:rsidRDefault="00694CB2" w:rsidP="00694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CB2" w:rsidRDefault="00694CB2" w:rsidP="00694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Умного города 2030</w:t>
      </w:r>
    </w:p>
    <w:p w:rsidR="00694CB2" w:rsidRDefault="00694CB2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1.</w:t>
      </w:r>
      <w:r>
        <w:rPr>
          <w:rFonts w:ascii="Times New Roman" w:hAnsi="Times New Roman" w:cs="Times New Roman"/>
          <w:sz w:val="24"/>
          <w:szCs w:val="24"/>
        </w:rPr>
        <w:t xml:space="preserve"> Умный город для человека</w:t>
      </w:r>
    </w:p>
    <w:p w:rsidR="00694CB2" w:rsidRDefault="00694CB2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r w:rsidR="00F33E56">
        <w:rPr>
          <w:rFonts w:ascii="Times New Roman" w:hAnsi="Times New Roman" w:cs="Times New Roman"/>
          <w:b/>
          <w:sz w:val="24"/>
          <w:szCs w:val="24"/>
        </w:rPr>
        <w:t>2.</w:t>
      </w:r>
      <w:r w:rsidR="00F33E56">
        <w:rPr>
          <w:rFonts w:ascii="Times New Roman" w:hAnsi="Times New Roman" w:cs="Times New Roman"/>
          <w:sz w:val="24"/>
          <w:szCs w:val="24"/>
        </w:rPr>
        <w:t xml:space="preserve"> Участие жителей в управлении городом</w:t>
      </w:r>
    </w:p>
    <w:p w:rsidR="00F33E56" w:rsidRDefault="00F33E56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3.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Искусственный интеллект для решения городских задач</w:t>
      </w:r>
    </w:p>
    <w:p w:rsidR="00F33E56" w:rsidRDefault="00F33E56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4.</w:t>
      </w:r>
      <w:r>
        <w:rPr>
          <w:rFonts w:ascii="Times New Roman" w:hAnsi="Times New Roman" w:cs="Times New Roman"/>
          <w:sz w:val="24"/>
          <w:szCs w:val="24"/>
        </w:rPr>
        <w:t xml:space="preserve"> Цифровые технологии для создания полноценной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во всех сферах жизни</w:t>
      </w:r>
    </w:p>
    <w:p w:rsidR="00F33E56" w:rsidRDefault="00F33E56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5.</w:t>
      </w:r>
      <w:r>
        <w:rPr>
          <w:rFonts w:ascii="Times New Roman" w:hAnsi="Times New Roman" w:cs="Times New Roman"/>
          <w:sz w:val="24"/>
          <w:szCs w:val="24"/>
        </w:rPr>
        <w:t xml:space="preserve"> Развитие города совместно с бизнесом и научным сообществом на партнерских взаимовыгодных условиях</w:t>
      </w:r>
    </w:p>
    <w:p w:rsidR="00F33E56" w:rsidRDefault="00F33E56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DFF">
        <w:rPr>
          <w:rFonts w:ascii="Times New Roman" w:hAnsi="Times New Roman" w:cs="Times New Roman"/>
          <w:sz w:val="24"/>
          <w:szCs w:val="24"/>
        </w:rPr>
        <w:t>Главенство цифрового документа над его бумажным аналогом</w:t>
      </w:r>
    </w:p>
    <w:p w:rsidR="00923DFF" w:rsidRDefault="00923DFF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7.</w:t>
      </w:r>
      <w:r>
        <w:rPr>
          <w:rFonts w:ascii="Times New Roman" w:hAnsi="Times New Roman" w:cs="Times New Roman"/>
          <w:sz w:val="24"/>
          <w:szCs w:val="24"/>
        </w:rPr>
        <w:t xml:space="preserve"> Сквозные технологии во всех сферах городской жизни</w:t>
      </w:r>
    </w:p>
    <w:p w:rsidR="00923DFF" w:rsidRDefault="00923DFF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8.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Отечественные решения в сфере цифровых технологий</w:t>
      </w:r>
    </w:p>
    <w:p w:rsidR="00923DFF" w:rsidRDefault="00923DFF" w:rsidP="00694C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9.</w:t>
      </w:r>
      <w:r>
        <w:rPr>
          <w:rFonts w:ascii="Times New Roman" w:hAnsi="Times New Roman" w:cs="Times New Roman"/>
          <w:sz w:val="24"/>
          <w:szCs w:val="24"/>
        </w:rPr>
        <w:t xml:space="preserve"> Зеленые цифровые технологии</w:t>
      </w:r>
    </w:p>
    <w:p w:rsidR="00923DFF" w:rsidRDefault="00923DFF" w:rsidP="00923D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Архитектура Умного города</w:t>
      </w:r>
    </w:p>
    <w:p w:rsidR="00242949" w:rsidRDefault="00242949" w:rsidP="00242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системы «Умный город-2030» есть 4 уровня, каждый из которых занимается своей работой.</w:t>
      </w:r>
    </w:p>
    <w:p w:rsidR="00242949" w:rsidRDefault="00242949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4</w:t>
      </w:r>
    </w:p>
    <w:p w:rsidR="00242949" w:rsidRDefault="00242949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Потребители и интерфейсы</w:t>
      </w:r>
    </w:p>
    <w:p w:rsidR="00242949" w:rsidRDefault="00242949" w:rsidP="00242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Жители, бизнес, городское управление</w:t>
      </w:r>
    </w:p>
    <w:p w:rsidR="00242949" w:rsidRDefault="00242949" w:rsidP="002429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949" w:rsidRDefault="00242949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242949" w:rsidRDefault="00242949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42949" w:rsidRDefault="00242949" w:rsidP="00242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Персонализированные – государственные и коммерческие</w:t>
      </w:r>
    </w:p>
    <w:p w:rsidR="00242949" w:rsidRDefault="00242949" w:rsidP="002429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949" w:rsidRDefault="00242949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242949" w:rsidRDefault="00242949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</w:t>
      </w:r>
    </w:p>
    <w:p w:rsidR="00242949" w:rsidRDefault="00242949" w:rsidP="00242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Генерируются инфраструктурой, приложениями и пользователями</w:t>
      </w:r>
    </w:p>
    <w:p w:rsidR="0078038A" w:rsidRDefault="0078038A" w:rsidP="002429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38A" w:rsidRDefault="0078038A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1</w:t>
      </w:r>
    </w:p>
    <w:p w:rsidR="0078038A" w:rsidRDefault="0078038A" w:rsidP="00242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Цифровая инфраструктура</w:t>
      </w:r>
    </w:p>
    <w:p w:rsidR="0078038A" w:rsidRDefault="0078038A" w:rsidP="002429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использование государством и бизнесом</w:t>
      </w:r>
    </w:p>
    <w:p w:rsidR="0078038A" w:rsidRDefault="0078038A" w:rsidP="002429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38A" w:rsidRDefault="0078038A" w:rsidP="00780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8A" w:rsidRDefault="0078038A" w:rsidP="00780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разработки стратегии</w:t>
      </w:r>
    </w:p>
    <w:p w:rsidR="0078038A" w:rsidRDefault="0078038A" w:rsidP="007803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правительством Москвы было выполнено всего 3 этапа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Поручение Мэра Москвы и опрос жителей</w:t>
      </w:r>
      <w:r w:rsidRPr="00780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Формирование основных элементов стратегии</w:t>
      </w:r>
      <w:r w:rsidRPr="007803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Обсуждение и синхронизация стратегии с экспертами отрасли, бизнес-сообществом, органами исполнительной власти города Москвы.</w:t>
      </w:r>
    </w:p>
    <w:p w:rsidR="0078038A" w:rsidRDefault="0078038A" w:rsidP="007803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помимо основных 7 этапов есть так же этапы обсуждения. Всего их 6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+ 5 этапов).На данный момент выполнено подготовка и 4 этапа. 5 этап обсуждения планируется на август 2018. В этих обсуждениях может принять любой желающий, зарегистрировавшийся на портале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ict</w:t>
      </w:r>
      <w:proofErr w:type="spellEnd"/>
      <w:r w:rsidRPr="0078038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proofErr w:type="spellEnd"/>
      <w:proofErr w:type="gramEnd"/>
      <w:r w:rsidRPr="0078038A">
        <w:rPr>
          <w:rFonts w:ascii="Times New Roman" w:hAnsi="Times New Roman" w:cs="Times New Roman"/>
          <w:sz w:val="24"/>
          <w:szCs w:val="24"/>
        </w:rPr>
        <w:t>.</w:t>
      </w:r>
    </w:p>
    <w:p w:rsidR="0078038A" w:rsidRDefault="0078038A" w:rsidP="00780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83B" w:rsidRDefault="00BE683B" w:rsidP="00BE68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BE683B" w:rsidRDefault="00BE683B" w:rsidP="00BE683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поменялась за годы правления Собянина</w:t>
      </w:r>
      <w:r w:rsidR="00D25EB9">
        <w:rPr>
          <w:rFonts w:ascii="Times New Roman" w:hAnsi="Times New Roman" w:cs="Times New Roman"/>
          <w:sz w:val="24"/>
          <w:szCs w:val="24"/>
        </w:rPr>
        <w:t xml:space="preserve"> и его команды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EB9">
        <w:rPr>
          <w:rFonts w:ascii="Times New Roman" w:hAnsi="Times New Roman" w:cs="Times New Roman"/>
          <w:sz w:val="24"/>
          <w:szCs w:val="24"/>
        </w:rPr>
        <w:t xml:space="preserve"> Если сравнивать фотографии 2009 и 2019 годов можно найти очень явные различия, и заключаться они будут не только в наличии элементарного асфальта. На этих фотографиях можно будет </w:t>
      </w:r>
      <w:proofErr w:type="gramStart"/>
      <w:r w:rsidR="00D25EB9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="00D25EB9">
        <w:rPr>
          <w:rFonts w:ascii="Times New Roman" w:hAnsi="Times New Roman" w:cs="Times New Roman"/>
          <w:sz w:val="24"/>
          <w:szCs w:val="24"/>
        </w:rPr>
        <w:t xml:space="preserve"> как сильно поменялся транспорт, как озеленились дорожки, как поменялся уличный стиль. Или хотя бы взять метро. На данный момент появилось множество новых станций и веток, а старые приобретают новые очертания, так как множество станций переделывается.</w:t>
      </w:r>
    </w:p>
    <w:p w:rsidR="00D25EB9" w:rsidRPr="00BE683B" w:rsidRDefault="00D25EB9" w:rsidP="00BE6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«Умный город – 2030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моему мнению, внесет в развитие городской инфраструктуры колоссальный вклад и выведет нашу столицу на 1 место рейтинга «Самых продвинутых городов мира».</w:t>
      </w:r>
    </w:p>
    <w:bookmarkEnd w:id="0"/>
    <w:p w:rsidR="0078038A" w:rsidRPr="0078038A" w:rsidRDefault="0078038A" w:rsidP="0078038A">
      <w:pPr>
        <w:rPr>
          <w:rFonts w:ascii="Times New Roman" w:hAnsi="Times New Roman" w:cs="Times New Roman"/>
          <w:sz w:val="24"/>
          <w:szCs w:val="24"/>
        </w:rPr>
      </w:pPr>
    </w:p>
    <w:p w:rsidR="00242949" w:rsidRPr="00242949" w:rsidRDefault="00242949" w:rsidP="002429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DFF" w:rsidRDefault="00923DFF" w:rsidP="00694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E56" w:rsidRPr="00694CB2" w:rsidRDefault="00F33E56" w:rsidP="00694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5A0" w:rsidRPr="00577858" w:rsidRDefault="009005A0" w:rsidP="00A34A90">
      <w:pPr>
        <w:rPr>
          <w:rFonts w:ascii="Times New Roman" w:hAnsi="Times New Roman" w:cs="Times New Roman"/>
          <w:sz w:val="24"/>
          <w:szCs w:val="24"/>
        </w:rPr>
      </w:pPr>
    </w:p>
    <w:sectPr w:rsidR="009005A0" w:rsidRPr="005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45BA"/>
    <w:multiLevelType w:val="hybridMultilevel"/>
    <w:tmpl w:val="2596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E9"/>
    <w:rsid w:val="000E35E0"/>
    <w:rsid w:val="00114BD8"/>
    <w:rsid w:val="00141648"/>
    <w:rsid w:val="00171E7A"/>
    <w:rsid w:val="001A18CD"/>
    <w:rsid w:val="001B00A1"/>
    <w:rsid w:val="00242949"/>
    <w:rsid w:val="003350AF"/>
    <w:rsid w:val="003877BC"/>
    <w:rsid w:val="004F0039"/>
    <w:rsid w:val="005523F9"/>
    <w:rsid w:val="00577858"/>
    <w:rsid w:val="00694CB2"/>
    <w:rsid w:val="0078038A"/>
    <w:rsid w:val="007D6279"/>
    <w:rsid w:val="009005A0"/>
    <w:rsid w:val="009118F3"/>
    <w:rsid w:val="00923DFF"/>
    <w:rsid w:val="00A34A90"/>
    <w:rsid w:val="00B03094"/>
    <w:rsid w:val="00BE683B"/>
    <w:rsid w:val="00C34DF2"/>
    <w:rsid w:val="00C77C68"/>
    <w:rsid w:val="00CD6CE9"/>
    <w:rsid w:val="00D25EB9"/>
    <w:rsid w:val="00D46703"/>
    <w:rsid w:val="00DC040D"/>
    <w:rsid w:val="00DF5F7B"/>
    <w:rsid w:val="00E8027F"/>
    <w:rsid w:val="00EE7D55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6368"/>
  <w15:chartTrackingRefBased/>
  <w15:docId w15:val="{F18A2939-A50F-4C06-A249-836A84E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Фирсанова</dc:creator>
  <cp:keywords/>
  <dc:description/>
  <cp:lastModifiedBy>Вероника Фирсанова</cp:lastModifiedBy>
  <cp:revision>7</cp:revision>
  <dcterms:created xsi:type="dcterms:W3CDTF">2019-03-04T16:44:00Z</dcterms:created>
  <dcterms:modified xsi:type="dcterms:W3CDTF">2019-03-10T19:22:00Z</dcterms:modified>
</cp:coreProperties>
</file>