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1EF" w:rsidRDefault="00C251EF" w:rsidP="00C251E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Департамент образования города Москвы</w:t>
      </w:r>
    </w:p>
    <w:p w:rsidR="00C251EF" w:rsidRDefault="00C251EF" w:rsidP="00C251E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Государственное бюджетное общеобразовательное учреждение города Москвы «Школа №1505</w:t>
      </w:r>
    </w:p>
    <w:p w:rsidR="00C251EF" w:rsidRDefault="00C251EF" w:rsidP="00C251E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«Преображенская»»</w:t>
      </w:r>
    </w:p>
    <w:p w:rsidR="00C251EF" w:rsidRDefault="00C251EF" w:rsidP="00C251E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C251EF" w:rsidRDefault="00C251EF" w:rsidP="00C251E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C251EF" w:rsidRDefault="00C251EF" w:rsidP="00C251E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</w:p>
    <w:p w:rsidR="00C251EF" w:rsidRDefault="00C251EF" w:rsidP="00C251EF">
      <w:pPr>
        <w:spacing w:line="360" w:lineRule="auto"/>
        <w:jc w:val="center"/>
        <w:rPr>
          <w:rFonts w:eastAsia="Times New Roman"/>
          <w:b/>
          <w:sz w:val="36"/>
          <w:szCs w:val="36"/>
        </w:rPr>
      </w:pPr>
      <w:r>
        <w:rPr>
          <w:rFonts w:eastAsia="Times New Roman"/>
          <w:b/>
          <w:sz w:val="36"/>
          <w:szCs w:val="36"/>
        </w:rPr>
        <w:t>РЕФЕРАТ</w:t>
      </w:r>
    </w:p>
    <w:p w:rsidR="00C251EF" w:rsidRDefault="00C251EF" w:rsidP="00C251EF">
      <w:pPr>
        <w:spacing w:line="360" w:lineRule="auto"/>
        <w:jc w:val="center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на тему</w:t>
      </w:r>
    </w:p>
    <w:p w:rsidR="00C251EF" w:rsidRPr="00C251EF" w:rsidRDefault="00C251EF" w:rsidP="00C251EF">
      <w:pPr>
        <w:jc w:val="center"/>
        <w:rPr>
          <w:b/>
          <w:sz w:val="36"/>
          <w:szCs w:val="36"/>
        </w:rPr>
      </w:pPr>
      <w:r w:rsidRPr="00C251EF">
        <w:rPr>
          <w:b/>
          <w:sz w:val="36"/>
          <w:szCs w:val="36"/>
        </w:rPr>
        <w:t>Образование в век информационных технологий</w:t>
      </w:r>
    </w:p>
    <w:p w:rsidR="00C251EF" w:rsidRDefault="00C251EF" w:rsidP="00C251EF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</w:t>
      </w:r>
    </w:p>
    <w:p w:rsidR="00C251EF" w:rsidRDefault="00C251EF" w:rsidP="00C251EF">
      <w:pPr>
        <w:spacing w:line="360" w:lineRule="auto"/>
        <w:jc w:val="center"/>
        <w:rPr>
          <w:color w:val="FF0000"/>
        </w:rPr>
      </w:pPr>
      <w:r>
        <w:rPr>
          <w:color w:val="FF0000"/>
        </w:rPr>
        <w:t xml:space="preserve"> </w:t>
      </w:r>
    </w:p>
    <w:p w:rsidR="00C251EF" w:rsidRDefault="00C251EF" w:rsidP="00C251EF">
      <w:pPr>
        <w:spacing w:after="0" w:line="240" w:lineRule="auto"/>
        <w:jc w:val="right"/>
        <w:rPr>
          <w:rFonts w:eastAsia="Times New Roman"/>
          <w:sz w:val="36"/>
          <w:szCs w:val="36"/>
        </w:rPr>
      </w:pPr>
      <w:r>
        <w:t xml:space="preserve"> </w:t>
      </w:r>
      <w:r>
        <w:rPr>
          <w:rFonts w:eastAsia="Times New Roman"/>
          <w:sz w:val="36"/>
          <w:szCs w:val="36"/>
        </w:rPr>
        <w:t>Выполнила:</w:t>
      </w:r>
    </w:p>
    <w:p w:rsidR="00C251EF" w:rsidRDefault="00C251EF" w:rsidP="00C251EF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Лытаева Анна Сергеевна</w:t>
      </w:r>
    </w:p>
    <w:p w:rsidR="00C251EF" w:rsidRDefault="00C251EF" w:rsidP="00C251EF">
      <w:pPr>
        <w:spacing w:after="0" w:line="240" w:lineRule="auto"/>
        <w:jc w:val="right"/>
        <w:rPr>
          <w:rFonts w:eastAsia="Times New Roman"/>
          <w:sz w:val="36"/>
          <w:szCs w:val="36"/>
        </w:rPr>
      </w:pPr>
      <w:r>
        <w:rPr>
          <w:rFonts w:eastAsia="Times New Roman"/>
          <w:sz w:val="36"/>
          <w:szCs w:val="36"/>
        </w:rPr>
        <w:t>Консультант:</w:t>
      </w:r>
    </w:p>
    <w:p w:rsidR="00C251EF" w:rsidRDefault="00C251EF" w:rsidP="00C251EF">
      <w:pPr>
        <w:spacing w:after="0" w:line="240" w:lineRule="auto"/>
        <w:jc w:val="right"/>
        <w:rPr>
          <w:rFonts w:eastAsia="Times New Roman"/>
        </w:rPr>
      </w:pPr>
      <w:r>
        <w:rPr>
          <w:rFonts w:eastAsia="Times New Roman"/>
        </w:rPr>
        <w:t>Павлова Александра Андреевна</w:t>
      </w:r>
    </w:p>
    <w:p w:rsidR="00C251EF" w:rsidRDefault="00C251EF" w:rsidP="00124C54">
      <w:pPr>
        <w:jc w:val="center"/>
        <w:rPr>
          <w:rFonts w:eastAsia="Times New Roman"/>
          <w:sz w:val="36"/>
          <w:szCs w:val="36"/>
        </w:rPr>
      </w:pPr>
    </w:p>
    <w:p w:rsidR="00C251EF" w:rsidRDefault="00C251EF" w:rsidP="00124C54">
      <w:pPr>
        <w:jc w:val="center"/>
        <w:rPr>
          <w:b/>
        </w:rPr>
      </w:pPr>
    </w:p>
    <w:p w:rsidR="00C251EF" w:rsidRDefault="00C251EF" w:rsidP="00C251EF">
      <w:pPr>
        <w:spacing w:line="360" w:lineRule="auto"/>
        <w:jc w:val="center"/>
        <w:rPr>
          <w:rFonts w:eastAsia="Times New Roman"/>
        </w:rPr>
      </w:pPr>
    </w:p>
    <w:p w:rsidR="00C251EF" w:rsidRDefault="00C251EF" w:rsidP="00C251EF">
      <w:pPr>
        <w:spacing w:line="360" w:lineRule="auto"/>
        <w:jc w:val="center"/>
        <w:rPr>
          <w:rFonts w:eastAsia="Times New Roman"/>
        </w:rPr>
      </w:pPr>
    </w:p>
    <w:p w:rsidR="00C251EF" w:rsidRDefault="00C251EF" w:rsidP="00C251E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Москва</w:t>
      </w:r>
    </w:p>
    <w:p w:rsidR="00C251EF" w:rsidRPr="00C251EF" w:rsidRDefault="00C251EF" w:rsidP="00C251EF">
      <w:pPr>
        <w:spacing w:line="360" w:lineRule="auto"/>
        <w:jc w:val="center"/>
        <w:rPr>
          <w:rFonts w:eastAsia="Times New Roman"/>
        </w:rPr>
      </w:pPr>
      <w:r>
        <w:rPr>
          <w:rFonts w:eastAsia="Times New Roman"/>
        </w:rPr>
        <w:t>2019</w:t>
      </w:r>
    </w:p>
    <w:sdt>
      <w:sdtPr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id w:val="1866788851"/>
        <w:docPartObj>
          <w:docPartGallery w:val="Table of Contents"/>
          <w:docPartUnique/>
        </w:docPartObj>
      </w:sdtPr>
      <w:sdtEndPr/>
      <w:sdtContent>
        <w:p w:rsidR="00006BA9" w:rsidRDefault="00006BA9">
          <w:pPr>
            <w:pStyle w:val="ab"/>
          </w:pPr>
          <w:r>
            <w:t>Оглавление</w:t>
          </w:r>
        </w:p>
        <w:p w:rsidR="00006BA9" w:rsidRDefault="00006BA9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087129" w:history="1">
            <w:r w:rsidRPr="0088541A">
              <w:rPr>
                <w:rStyle w:val="a6"/>
                <w:noProof/>
              </w:rPr>
              <w:t>Введение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_Toc6087129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006BA9" w:rsidRDefault="005E4D6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087130" w:history="1">
            <w:r w:rsidR="00006BA9" w:rsidRPr="0088541A">
              <w:rPr>
                <w:rStyle w:val="a6"/>
                <w:noProof/>
              </w:rPr>
              <w:t>Глава 1. Информатизация образования: понятие, цели, возможности.</w:t>
            </w:r>
            <w:r w:rsidR="00006BA9">
              <w:rPr>
                <w:noProof/>
                <w:webHidden/>
              </w:rPr>
              <w:tab/>
            </w:r>
            <w:r w:rsidR="00006BA9">
              <w:rPr>
                <w:noProof/>
                <w:webHidden/>
              </w:rPr>
              <w:fldChar w:fldCharType="begin"/>
            </w:r>
            <w:r w:rsidR="00006BA9">
              <w:rPr>
                <w:noProof/>
                <w:webHidden/>
              </w:rPr>
              <w:instrText xml:space="preserve"> PAGEREF _Toc6087130 \h </w:instrText>
            </w:r>
            <w:r w:rsidR="00006BA9">
              <w:rPr>
                <w:noProof/>
                <w:webHidden/>
              </w:rPr>
            </w:r>
            <w:r w:rsidR="00006BA9">
              <w:rPr>
                <w:noProof/>
                <w:webHidden/>
              </w:rPr>
              <w:fldChar w:fldCharType="separate"/>
            </w:r>
            <w:r w:rsidR="00006BA9">
              <w:rPr>
                <w:noProof/>
                <w:webHidden/>
              </w:rPr>
              <w:t>5</w:t>
            </w:r>
            <w:r w:rsidR="00006BA9">
              <w:rPr>
                <w:noProof/>
                <w:webHidden/>
              </w:rPr>
              <w:fldChar w:fldCharType="end"/>
            </w:r>
          </w:hyperlink>
        </w:p>
        <w:p w:rsidR="00006BA9" w:rsidRDefault="005E4D6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087131" w:history="1">
            <w:r w:rsidR="00006BA9" w:rsidRPr="0088541A">
              <w:rPr>
                <w:rStyle w:val="a6"/>
                <w:noProof/>
              </w:rPr>
              <w:t>Глава 2. Цифровые образовательные ресурсы: определение и классификация.</w:t>
            </w:r>
            <w:r w:rsidR="00006BA9">
              <w:rPr>
                <w:noProof/>
                <w:webHidden/>
              </w:rPr>
              <w:tab/>
            </w:r>
            <w:r w:rsidR="00006BA9">
              <w:rPr>
                <w:noProof/>
                <w:webHidden/>
              </w:rPr>
              <w:fldChar w:fldCharType="begin"/>
            </w:r>
            <w:r w:rsidR="00006BA9">
              <w:rPr>
                <w:noProof/>
                <w:webHidden/>
              </w:rPr>
              <w:instrText xml:space="preserve"> PAGEREF _Toc6087131 \h </w:instrText>
            </w:r>
            <w:r w:rsidR="00006BA9">
              <w:rPr>
                <w:noProof/>
                <w:webHidden/>
              </w:rPr>
            </w:r>
            <w:r w:rsidR="00006BA9">
              <w:rPr>
                <w:noProof/>
                <w:webHidden/>
              </w:rPr>
              <w:fldChar w:fldCharType="separate"/>
            </w:r>
            <w:r w:rsidR="00006BA9">
              <w:rPr>
                <w:noProof/>
                <w:webHidden/>
              </w:rPr>
              <w:t>8</w:t>
            </w:r>
            <w:r w:rsidR="00006BA9">
              <w:rPr>
                <w:noProof/>
                <w:webHidden/>
              </w:rPr>
              <w:fldChar w:fldCharType="end"/>
            </w:r>
          </w:hyperlink>
        </w:p>
        <w:p w:rsidR="00006BA9" w:rsidRDefault="005E4D6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087132" w:history="1">
            <w:r w:rsidR="00006BA9" w:rsidRPr="0088541A">
              <w:rPr>
                <w:rStyle w:val="a6"/>
                <w:noProof/>
              </w:rPr>
              <w:t>Глава 3. Цифровые образовательные ресурсы в гимназии 1505: сфера применения, плюсы и минусы.</w:t>
            </w:r>
            <w:r w:rsidR="00006BA9">
              <w:rPr>
                <w:noProof/>
                <w:webHidden/>
              </w:rPr>
              <w:tab/>
            </w:r>
            <w:r w:rsidR="00006BA9">
              <w:rPr>
                <w:noProof/>
                <w:webHidden/>
              </w:rPr>
              <w:fldChar w:fldCharType="begin"/>
            </w:r>
            <w:r w:rsidR="00006BA9">
              <w:rPr>
                <w:noProof/>
                <w:webHidden/>
              </w:rPr>
              <w:instrText xml:space="preserve"> PAGEREF _Toc6087132 \h </w:instrText>
            </w:r>
            <w:r w:rsidR="00006BA9">
              <w:rPr>
                <w:noProof/>
                <w:webHidden/>
              </w:rPr>
            </w:r>
            <w:r w:rsidR="00006BA9">
              <w:rPr>
                <w:noProof/>
                <w:webHidden/>
              </w:rPr>
              <w:fldChar w:fldCharType="separate"/>
            </w:r>
            <w:r w:rsidR="00006BA9">
              <w:rPr>
                <w:noProof/>
                <w:webHidden/>
              </w:rPr>
              <w:t>9</w:t>
            </w:r>
            <w:r w:rsidR="00006BA9">
              <w:rPr>
                <w:noProof/>
                <w:webHidden/>
              </w:rPr>
              <w:fldChar w:fldCharType="end"/>
            </w:r>
          </w:hyperlink>
        </w:p>
        <w:p w:rsidR="00006BA9" w:rsidRDefault="005E4D6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087133" w:history="1">
            <w:r w:rsidR="00006BA9" w:rsidRPr="0088541A">
              <w:rPr>
                <w:rStyle w:val="a6"/>
                <w:noProof/>
              </w:rPr>
              <w:t>Заключение</w:t>
            </w:r>
            <w:r w:rsidR="00006BA9">
              <w:rPr>
                <w:noProof/>
                <w:webHidden/>
              </w:rPr>
              <w:tab/>
            </w:r>
            <w:r w:rsidR="00006BA9">
              <w:rPr>
                <w:noProof/>
                <w:webHidden/>
              </w:rPr>
              <w:fldChar w:fldCharType="begin"/>
            </w:r>
            <w:r w:rsidR="00006BA9">
              <w:rPr>
                <w:noProof/>
                <w:webHidden/>
              </w:rPr>
              <w:instrText xml:space="preserve"> PAGEREF _Toc6087133 \h </w:instrText>
            </w:r>
            <w:r w:rsidR="00006BA9">
              <w:rPr>
                <w:noProof/>
                <w:webHidden/>
              </w:rPr>
            </w:r>
            <w:r w:rsidR="00006BA9">
              <w:rPr>
                <w:noProof/>
                <w:webHidden/>
              </w:rPr>
              <w:fldChar w:fldCharType="separate"/>
            </w:r>
            <w:r w:rsidR="00006BA9">
              <w:rPr>
                <w:noProof/>
                <w:webHidden/>
              </w:rPr>
              <w:t>11</w:t>
            </w:r>
            <w:r w:rsidR="00006BA9">
              <w:rPr>
                <w:noProof/>
                <w:webHidden/>
              </w:rPr>
              <w:fldChar w:fldCharType="end"/>
            </w:r>
          </w:hyperlink>
        </w:p>
        <w:p w:rsidR="00006BA9" w:rsidRDefault="005E4D6E">
          <w:pPr>
            <w:pStyle w:val="1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ru-RU"/>
            </w:rPr>
          </w:pPr>
          <w:hyperlink w:anchor="_Toc6087134" w:history="1">
            <w:r w:rsidR="00006BA9" w:rsidRPr="0088541A">
              <w:rPr>
                <w:rStyle w:val="a6"/>
                <w:noProof/>
              </w:rPr>
              <w:t>Список использованной литературы</w:t>
            </w:r>
            <w:r w:rsidR="00006BA9">
              <w:rPr>
                <w:noProof/>
                <w:webHidden/>
              </w:rPr>
              <w:tab/>
            </w:r>
            <w:r w:rsidR="00006BA9">
              <w:rPr>
                <w:noProof/>
                <w:webHidden/>
              </w:rPr>
              <w:fldChar w:fldCharType="begin"/>
            </w:r>
            <w:r w:rsidR="00006BA9">
              <w:rPr>
                <w:noProof/>
                <w:webHidden/>
              </w:rPr>
              <w:instrText xml:space="preserve"> PAGEREF _Toc6087134 \h </w:instrText>
            </w:r>
            <w:r w:rsidR="00006BA9">
              <w:rPr>
                <w:noProof/>
                <w:webHidden/>
              </w:rPr>
            </w:r>
            <w:r w:rsidR="00006BA9">
              <w:rPr>
                <w:noProof/>
                <w:webHidden/>
              </w:rPr>
              <w:fldChar w:fldCharType="separate"/>
            </w:r>
            <w:r w:rsidR="00006BA9">
              <w:rPr>
                <w:noProof/>
                <w:webHidden/>
              </w:rPr>
              <w:t>12</w:t>
            </w:r>
            <w:r w:rsidR="00006BA9">
              <w:rPr>
                <w:noProof/>
                <w:webHidden/>
              </w:rPr>
              <w:fldChar w:fldCharType="end"/>
            </w:r>
          </w:hyperlink>
        </w:p>
        <w:p w:rsidR="00006BA9" w:rsidRDefault="00006BA9">
          <w:r>
            <w:rPr>
              <w:b/>
              <w:bCs/>
            </w:rPr>
            <w:fldChar w:fldCharType="end"/>
          </w:r>
        </w:p>
      </w:sdtContent>
    </w:sdt>
    <w:p w:rsidR="00C251EF" w:rsidRDefault="00C251EF" w:rsidP="00C251EF">
      <w:pPr>
        <w:jc w:val="center"/>
      </w:pPr>
      <w:r>
        <w:br w:type="page"/>
      </w:r>
    </w:p>
    <w:p w:rsidR="003E2E96" w:rsidRPr="001A1B62" w:rsidRDefault="003E2E96" w:rsidP="00006BA9">
      <w:pPr>
        <w:pStyle w:val="1"/>
      </w:pPr>
      <w:bookmarkStart w:id="0" w:name="_Toc6087088"/>
      <w:bookmarkStart w:id="1" w:name="_Toc6087129"/>
      <w:r w:rsidRPr="001A1B62">
        <w:lastRenderedPageBreak/>
        <w:t>Введение</w:t>
      </w:r>
      <w:bookmarkEnd w:id="0"/>
      <w:bookmarkEnd w:id="1"/>
    </w:p>
    <w:p w:rsidR="003E2E96" w:rsidRDefault="003E2E96" w:rsidP="003E2E96">
      <w:pPr>
        <w:ind w:firstLine="709"/>
        <w:jc w:val="both"/>
      </w:pPr>
      <w:r>
        <w:t xml:space="preserve">С развитием информационно-коммуникационных технологий многие исследователи переосмысливают их значение для образовательного процесса. </w:t>
      </w:r>
      <w:r w:rsidR="00455AC9">
        <w:t>30 лет назад, когда компьютеры появлялись в школах, их рассматривали как вспомогательное средство в учебном процессе, для них создавались программы, главной целью которых была тренировка повторяющихся навыков. Сейчас компьютеры, планшеты, смартфоны, интернет, приложения – это часть быта школьников, поэтому их использование в образовательном процессе должно бы</w:t>
      </w:r>
      <w:r w:rsidR="00F12662">
        <w:t>ть органичным. Сейчас идет речь о создании информационно-образовательных сред</w:t>
      </w:r>
      <w:r>
        <w:t xml:space="preserve"> </w:t>
      </w:r>
      <w:r w:rsidR="00F12662">
        <w:t>отрытого и дистанционного обучения, которые объединяют все функции учебного процесса: обучающую, воспитывающую и развивающую.</w:t>
      </w:r>
    </w:p>
    <w:p w:rsidR="00F12662" w:rsidRDefault="00F12662" w:rsidP="003E2E96">
      <w:pPr>
        <w:ind w:firstLine="709"/>
        <w:jc w:val="both"/>
      </w:pPr>
      <w:r>
        <w:t>Целью данного реферата является рассмотрение возможностей, которые предоставляются информационно-коммуникационными технологиями для дополнения, расширения и совершенствования учебного процесса. Мы проанализируем</w:t>
      </w:r>
      <w:r w:rsidR="001A4AED">
        <w:t xml:space="preserve"> наиболее распространенные информационные технологии, их классификации, функции, инструментарий и сферы применения.</w:t>
      </w:r>
    </w:p>
    <w:p w:rsidR="001A4AED" w:rsidRDefault="001A4AED" w:rsidP="003E2E96">
      <w:pPr>
        <w:ind w:firstLine="709"/>
        <w:jc w:val="both"/>
      </w:pPr>
      <w:r>
        <w:t>Основной проблемой, с которой сталкиваются участники образовательного процесса: учителя, ученики, родители, является проблема выбора информационной технологии в соответствии с поставленной задачей с тем, чтобы ее включение в образовательный процесс было бы логичным и естественным. В последнее время можно услышать в различных средствах массовой информации мнения, согласно которым в будущем информационные технологии могут заменить часть учебного процесса, то есть перенести его в онлайн-режим. Например, ректор НИУ ВШЭ Я.И. Кузьминов высказывался о том, что лекции в университете можно полностью перенести в информационно-образовательную среду</w:t>
      </w:r>
      <w:r w:rsidR="00C95622">
        <w:t>,</w:t>
      </w:r>
      <w:r>
        <w:t xml:space="preserve"> и они будут изучаться студентами самостоятельно</w:t>
      </w:r>
      <w:r>
        <w:rPr>
          <w:rStyle w:val="a5"/>
        </w:rPr>
        <w:footnoteReference w:id="1"/>
      </w:r>
      <w:r w:rsidR="00C95622">
        <w:t>. Мы видим своей задачей оценить плюсы и минусы некоторых образовательных технологий, которые используются учащимися гимназии 1505. Так участники образовательного процесса смогут более разумно подойти к их выбору и реализации.</w:t>
      </w:r>
    </w:p>
    <w:p w:rsidR="00C95622" w:rsidRDefault="00E6697B" w:rsidP="003E2E96">
      <w:pPr>
        <w:ind w:firstLine="709"/>
        <w:jc w:val="both"/>
      </w:pPr>
      <w:r>
        <w:t>Если говорить о тех возможностях, которые информационные технологии предоставляют для нынешнего поколения учителей, учеников и их родителей, то их можно условно разделить на следующие группы.</w:t>
      </w:r>
    </w:p>
    <w:p w:rsidR="00E6697B" w:rsidRDefault="00E6697B" w:rsidP="003E2E96">
      <w:pPr>
        <w:ind w:firstLine="709"/>
        <w:jc w:val="both"/>
      </w:pPr>
      <w:r>
        <w:lastRenderedPageBreak/>
        <w:t xml:space="preserve">1. </w:t>
      </w:r>
      <w:r w:rsidR="005F739C">
        <w:t xml:space="preserve">Информационные. Интернет-ресурсы содержат сейчас огромное количество информации: электронные словари, справочники, библиотеки, электронные версии журналов, видео и аудио-файлы. Все это можно найти на самых разных языках. </w:t>
      </w:r>
    </w:p>
    <w:p w:rsidR="005F739C" w:rsidRDefault="005F739C" w:rsidP="003E2E96">
      <w:pPr>
        <w:ind w:firstLine="709"/>
        <w:jc w:val="both"/>
      </w:pPr>
      <w:r>
        <w:t>2. Образовательные. Помимо электронных версий школьных учебников, существует множество сайтов, которые можно использовать с образовательными целями, которые обеспечивают тренировку и использование знаний и умений в рамках школьной, вузовской или программ дополнительного образования. Есть специальные образовательные платформы, на которых размещены образовательные курсы с необходимым методическим обеспечением.</w:t>
      </w:r>
    </w:p>
    <w:p w:rsidR="005F739C" w:rsidRDefault="005F739C" w:rsidP="003E2E96">
      <w:pPr>
        <w:ind w:firstLine="709"/>
        <w:jc w:val="both"/>
      </w:pPr>
      <w:r>
        <w:t xml:space="preserve">3. Организационные. В каждой школе сейчас используются платформы, которые </w:t>
      </w:r>
      <w:r w:rsidR="00124C54">
        <w:t>организуют</w:t>
      </w:r>
      <w:r>
        <w:t xml:space="preserve"> школьную жизнь: от расписания и электронного дневника до портфолио и организационных систем типа </w:t>
      </w:r>
      <w:r>
        <w:rPr>
          <w:lang w:val="en-US"/>
        </w:rPr>
        <w:t>LMS</w:t>
      </w:r>
      <w:r w:rsidRPr="005F739C">
        <w:t xml:space="preserve"> (</w:t>
      </w:r>
      <w:r>
        <w:rPr>
          <w:lang w:val="en-US"/>
        </w:rPr>
        <w:t>Learning</w:t>
      </w:r>
      <w:r w:rsidRPr="005F739C">
        <w:t xml:space="preserve"> </w:t>
      </w:r>
      <w:r>
        <w:rPr>
          <w:lang w:val="en-US"/>
        </w:rPr>
        <w:t>Management</w:t>
      </w:r>
      <w:r w:rsidRPr="005F739C">
        <w:t xml:space="preserve"> </w:t>
      </w:r>
      <w:r>
        <w:rPr>
          <w:lang w:val="en-US"/>
        </w:rPr>
        <w:t>System</w:t>
      </w:r>
      <w:r w:rsidRPr="005F739C">
        <w:t>).</w:t>
      </w:r>
    </w:p>
    <w:p w:rsidR="005F739C" w:rsidRDefault="005F739C" w:rsidP="003E2E96">
      <w:pPr>
        <w:ind w:firstLine="709"/>
        <w:jc w:val="both"/>
      </w:pPr>
      <w:r>
        <w:t>4. Методические. Данные ресурсы предназначены для учителей и родителей и содержат информацию об образовательной системе.</w:t>
      </w:r>
    </w:p>
    <w:p w:rsidR="005F739C" w:rsidRDefault="005F739C" w:rsidP="003E2E96">
      <w:pPr>
        <w:ind w:firstLine="709"/>
        <w:jc w:val="both"/>
      </w:pPr>
      <w:r>
        <w:t>5. Мотивационные. Научно-популярные образовательные ресурсы, которые в первую очередь имеют своей целью мотивировать учащихся к более глубокому погружению в предмет. Сюда же относятся разнообразные игры и головоломки, приложения и т.д.</w:t>
      </w:r>
    </w:p>
    <w:p w:rsidR="005F739C" w:rsidRDefault="005F739C" w:rsidP="003E2E96">
      <w:pPr>
        <w:ind w:firstLine="709"/>
        <w:jc w:val="both"/>
      </w:pPr>
      <w:r>
        <w:t>6. Познавательно-развлекательные. Видео и аудио ресурсы, которые могут использоваться в развлекательных целях, но несут и образовательную нагрузку. Это мультфильмы, фильмы и т.д.</w:t>
      </w:r>
    </w:p>
    <w:p w:rsidR="005F739C" w:rsidRDefault="005F739C" w:rsidP="005F739C">
      <w:pPr>
        <w:ind w:firstLine="709"/>
        <w:jc w:val="both"/>
      </w:pPr>
      <w:r>
        <w:t>В нашем реферате мы кратко опишем некоторые ресурсы, которые используют современные школьники.</w:t>
      </w: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1A1B62" w:rsidRDefault="001A1B62" w:rsidP="005F739C">
      <w:pPr>
        <w:ind w:firstLine="709"/>
        <w:jc w:val="both"/>
      </w:pPr>
    </w:p>
    <w:p w:rsidR="00C52026" w:rsidRPr="00FF2187" w:rsidRDefault="00C52026" w:rsidP="00006BA9">
      <w:pPr>
        <w:pStyle w:val="1"/>
      </w:pPr>
      <w:bookmarkStart w:id="2" w:name="_Toc6087089"/>
      <w:bookmarkStart w:id="3" w:name="_Toc6087130"/>
      <w:r w:rsidRPr="00FF2187">
        <w:lastRenderedPageBreak/>
        <w:t>Глава 1. Информатизация образования: понятие, цели, возможности.</w:t>
      </w:r>
      <w:bookmarkEnd w:id="2"/>
      <w:bookmarkEnd w:id="3"/>
    </w:p>
    <w:p w:rsidR="00FF2187" w:rsidRDefault="00FF2187" w:rsidP="005F739C">
      <w:pPr>
        <w:ind w:firstLine="709"/>
        <w:jc w:val="both"/>
      </w:pPr>
      <w:r>
        <w:t xml:space="preserve">Поскольку образование – это важная часть общества, то и все процессы, происходящие в социуме, отражаются в образовании. Информатизация затронула в последние десятилетия все сферы нашей жизни. Образование не осталось в стороне. </w:t>
      </w:r>
    </w:p>
    <w:p w:rsidR="00C52026" w:rsidRDefault="00FF2187" w:rsidP="005F739C">
      <w:pPr>
        <w:ind w:firstLine="709"/>
        <w:jc w:val="both"/>
      </w:pPr>
      <w:r>
        <w:t>Информатизация общества – совокупность взаимосвязанных политических, социально-экономических, научных факторов, которые обеспечивают свободный доступ каждому члену общества к любым источникам информации</w:t>
      </w:r>
      <w:r>
        <w:rPr>
          <w:rStyle w:val="a5"/>
        </w:rPr>
        <w:footnoteReference w:id="2"/>
      </w:r>
      <w:r>
        <w:t>.</w:t>
      </w:r>
      <w:r w:rsidR="00B358EA">
        <w:t xml:space="preserve"> </w:t>
      </w:r>
      <w:r>
        <w:t>Следовательно, информатизация образования – это совокупность факторов, которые обеспечивают свободный доступ к образовательным ресурсам.</w:t>
      </w:r>
    </w:p>
    <w:p w:rsidR="004A2D8C" w:rsidRDefault="00FF2187" w:rsidP="005F739C">
      <w:pPr>
        <w:ind w:firstLine="709"/>
        <w:jc w:val="both"/>
      </w:pPr>
      <w:r>
        <w:t>С исторической точки зрения можно выделить три этапа информатизации образования: электронизация, компьютеризация, информартизация образовательного процесса</w:t>
      </w:r>
      <w:r>
        <w:rPr>
          <w:rStyle w:val="a5"/>
        </w:rPr>
        <w:footnoteReference w:id="3"/>
      </w:r>
      <w:r w:rsidR="004A2D8C">
        <w:t xml:space="preserve">. Первый этап (60-е – 70-е годы 20 в.) характеризуется попыткой использовать возможности только что созданных электронных средств и вычислительной техники для обучения студентов основам алгоритмизации и программирования. Однако компьютеры в то время были малопроизводительными, громоздкими, сложными в использовании. </w:t>
      </w:r>
    </w:p>
    <w:p w:rsidR="00C52026" w:rsidRDefault="004A2D8C" w:rsidP="005F739C">
      <w:pPr>
        <w:ind w:firstLine="709"/>
        <w:jc w:val="both"/>
      </w:pPr>
      <w:r>
        <w:t xml:space="preserve">С появлением более мощных и одновременно менее громоздких компьютеров, которые имели более «дружественный» интерфейс (80-е – 90-е гг. 20 в),  было начато внедрение компьютерных образовательных технологий в школы. В начале 90-х годов 20 в. В школах появился предмет «Информатика», были созданы соответствующие учебники. Стали чаще использоваться автоматизированные системы обучения, контроля знаний и управления учебным процессом. </w:t>
      </w:r>
    </w:p>
    <w:p w:rsidR="0042128D" w:rsidRDefault="0042128D" w:rsidP="005F739C">
      <w:pPr>
        <w:ind w:firstLine="709"/>
        <w:jc w:val="both"/>
      </w:pPr>
      <w:r>
        <w:t>Третий, современный этап информатизации образования характеризуется использованием мощных персональных компьютеров</w:t>
      </w:r>
      <w:r w:rsidR="006330EA">
        <w:t>, быстродействующих накопителей большой емкости, новых информационных и телекоммуникационных технологий, мультимедия-технологий и виртуальной реальности.</w:t>
      </w:r>
    </w:p>
    <w:p w:rsidR="006330EA" w:rsidRDefault="006330EA" w:rsidP="005F739C">
      <w:pPr>
        <w:ind w:firstLine="709"/>
        <w:jc w:val="both"/>
      </w:pPr>
      <w:r>
        <w:t>Выделяют следующие направления внедрения информационных технологий в образование:</w:t>
      </w:r>
    </w:p>
    <w:p w:rsidR="006330EA" w:rsidRDefault="006330EA" w:rsidP="005F739C">
      <w:pPr>
        <w:ind w:firstLine="709"/>
        <w:jc w:val="both"/>
      </w:pPr>
      <w:r>
        <w:lastRenderedPageBreak/>
        <w:t>1. использование компьютерной техники в качестве средства обучения, повышающего качество и эффективность процесса преподавания;</w:t>
      </w:r>
    </w:p>
    <w:p w:rsidR="006330EA" w:rsidRDefault="006330EA" w:rsidP="005F739C">
      <w:pPr>
        <w:ind w:firstLine="709"/>
        <w:jc w:val="both"/>
      </w:pPr>
      <w:r>
        <w:t>2. использование средств новых информационных технологий в качестве средства творческого развития обучаемого;</w:t>
      </w:r>
    </w:p>
    <w:p w:rsidR="006330EA" w:rsidRDefault="006330EA" w:rsidP="005F739C">
      <w:pPr>
        <w:ind w:firstLine="709"/>
        <w:jc w:val="both"/>
      </w:pPr>
      <w:r>
        <w:t>3. использование компьютера в качестве средства автоматизации процесса тестирования и диагностики;</w:t>
      </w:r>
    </w:p>
    <w:p w:rsidR="006330EA" w:rsidRDefault="006330EA" w:rsidP="005F739C">
      <w:pPr>
        <w:ind w:firstLine="709"/>
        <w:jc w:val="both"/>
      </w:pPr>
      <w:r>
        <w:t>4. использование средств информационных технологий для организации интеллектуального досуга;</w:t>
      </w:r>
    </w:p>
    <w:p w:rsidR="006330EA" w:rsidRDefault="006330EA" w:rsidP="005F739C">
      <w:pPr>
        <w:ind w:firstLine="709"/>
        <w:jc w:val="both"/>
      </w:pPr>
      <w:r>
        <w:t>5. интенсификация и совершенствование управления учебным заведением и учебным процессом.</w:t>
      </w:r>
    </w:p>
    <w:p w:rsidR="006330EA" w:rsidRDefault="006330EA" w:rsidP="005F739C">
      <w:pPr>
        <w:ind w:firstLine="709"/>
        <w:jc w:val="both"/>
      </w:pPr>
      <w:r>
        <w:t>Какие образовательные задачи может решить использование информационных технологий?</w:t>
      </w:r>
    </w:p>
    <w:p w:rsidR="006330EA" w:rsidRDefault="006330EA" w:rsidP="005F739C">
      <w:pPr>
        <w:ind w:firstLine="709"/>
        <w:jc w:val="both"/>
      </w:pPr>
      <w:r>
        <w:t>Во-первых, это повышение качества учебного процесса, так как при этом возможно создание моделей изучаемых процессов и явлений, увеличение доли наглядности, возможно симулирование профессиональной деятельности и т.д. Все это повышает творческую и интеллектуальную составляющую учебной деятельности.</w:t>
      </w:r>
    </w:p>
    <w:p w:rsidR="006330EA" w:rsidRDefault="006330EA" w:rsidP="005F739C">
      <w:pPr>
        <w:ind w:firstLine="709"/>
        <w:jc w:val="both"/>
      </w:pPr>
      <w:r>
        <w:t xml:space="preserve">Во-вторых, </w:t>
      </w:r>
      <w:r w:rsidR="0040511F">
        <w:t>информационные технологии позволяют адаптировать учебный процесс под интересы, потребности и склонности обучаемого. Так реализуется индивидуализация обучения.</w:t>
      </w:r>
    </w:p>
    <w:p w:rsidR="0040511F" w:rsidRDefault="0040511F" w:rsidP="005F739C">
      <w:pPr>
        <w:ind w:firstLine="709"/>
        <w:jc w:val="both"/>
      </w:pPr>
      <w:r>
        <w:t>В-третьих, информационные технологии обеспечивают организацию самостоятельной работы учащихся. Он позволяют дать возможность повторить, потренировать учебный материал, расширить и дополнить школьную программу.</w:t>
      </w:r>
    </w:p>
    <w:p w:rsidR="0040511F" w:rsidRDefault="0040511F" w:rsidP="005F739C">
      <w:pPr>
        <w:ind w:firstLine="709"/>
        <w:jc w:val="both"/>
      </w:pPr>
      <w:r>
        <w:t xml:space="preserve">В-четвертых, информационные технологии сделали реальностью дистанционное обучение, не выходя их дома. Что, в конечном итоге, </w:t>
      </w:r>
      <w:r w:rsidR="003365F0">
        <w:t>делает возможным образование в течение всей жизни.</w:t>
      </w:r>
    </w:p>
    <w:p w:rsidR="003365F0" w:rsidRDefault="003365F0" w:rsidP="005F739C">
      <w:pPr>
        <w:ind w:firstLine="709"/>
        <w:jc w:val="both"/>
      </w:pPr>
      <w:r>
        <w:t xml:space="preserve">Есть еще одна важная задача применения информационных технологий в образовании: формирование информационной культуры обучающихся. Сюда относятся знания об информации и информационных процессах, умения и навыки использовать технические и программные средства, умения применять знания и умения в реальных ситуациях профессиональной деятельности. </w:t>
      </w:r>
    </w:p>
    <w:p w:rsidR="003365F0" w:rsidRDefault="003365F0" w:rsidP="005F739C">
      <w:pPr>
        <w:ind w:firstLine="709"/>
        <w:jc w:val="both"/>
      </w:pPr>
      <w:r>
        <w:lastRenderedPageBreak/>
        <w:t>Что же относится к основным направлениям использования информационных технологий в основной школе?</w:t>
      </w:r>
    </w:p>
    <w:p w:rsidR="003365F0" w:rsidRDefault="00F4560B" w:rsidP="005F739C">
      <w:pPr>
        <w:ind w:firstLine="709"/>
        <w:jc w:val="both"/>
      </w:pPr>
      <w:r>
        <w:t>1. Компьютер и информационные технологии как объект изучения (в рамках курса информатики).</w:t>
      </w:r>
    </w:p>
    <w:p w:rsidR="00F4560B" w:rsidRDefault="00F4560B" w:rsidP="005F739C">
      <w:pPr>
        <w:ind w:firstLine="709"/>
        <w:jc w:val="both"/>
      </w:pPr>
      <w:r>
        <w:t xml:space="preserve">2. Компьютер и ИКТ как средство для обучения различным дисциплинам. </w:t>
      </w:r>
    </w:p>
    <w:p w:rsidR="00DD2A23" w:rsidRDefault="00DD2A23" w:rsidP="005F739C">
      <w:pPr>
        <w:ind w:firstLine="709"/>
        <w:jc w:val="both"/>
      </w:pPr>
      <w:r>
        <w:t>3. Компьютер и ИКТ как средство диагностики.</w:t>
      </w:r>
    </w:p>
    <w:p w:rsidR="00F751C0" w:rsidRDefault="00F751C0" w:rsidP="005F739C">
      <w:pPr>
        <w:ind w:firstLine="709"/>
        <w:jc w:val="both"/>
      </w:pPr>
      <w:r>
        <w:t xml:space="preserve">Многие исследователи отмечают, что ИКТ являются универсальным средством достижения результатов обучения, так как вносит вклад во всестороннее развитие личности ученика. </w:t>
      </w:r>
      <w:r w:rsidR="0075632A">
        <w:t xml:space="preserve">И.В. Роберт считает, что использование компьютерных средств в обучении позволяет добиться </w:t>
      </w:r>
      <w:r w:rsidR="00C05160">
        <w:t xml:space="preserve">развитие мышления (наглядно-действенного, наглядно-образного, интуитивного, творческого, теоретического); Развитие коммуникативных способностей, формирование умения принимать правильное решение или предлагать варианты решения в сложной ситуации (за счёт использования обучающих компьютерных игр), развитие умения осуществлять экспериментально-исследовательскую </w:t>
      </w:r>
      <w:r w:rsidR="007606A1">
        <w:t>деятельность.</w:t>
      </w:r>
    </w:p>
    <w:p w:rsidR="007606A1" w:rsidRDefault="007606A1" w:rsidP="005F739C">
      <w:pPr>
        <w:ind w:firstLine="709"/>
        <w:jc w:val="both"/>
      </w:pPr>
      <w:r>
        <w:t>Очень важную роль играет компьютер в организации контроля и оценки знаний и умений учащихся. Практически все формы государственного контроля осуществляются посредством компьютера. Это касается, прежде всего ОГЭ и ЕГЭ. Использование компьютера позволяет сделать этот процесс быстрым, исключает человеческий фактор в проверке тестов, позволяет собрать и проанализировать большой массив данных</w:t>
      </w:r>
      <w:r w:rsidR="00BD0A9E">
        <w:t>.</w:t>
      </w:r>
    </w:p>
    <w:p w:rsidR="00BD0A9E" w:rsidRDefault="00BD0A9E" w:rsidP="005F739C">
      <w:pPr>
        <w:ind w:firstLine="709"/>
        <w:jc w:val="both"/>
      </w:pPr>
      <w:r>
        <w:t>Возможности применения ИКТ в обучении поистине безграничны, но ученые смогли выделить основные типы цифровых образовательных ресурсов, которые мы рассмотрим во второй главе.</w:t>
      </w:r>
    </w:p>
    <w:p w:rsidR="00DD2A23" w:rsidRDefault="00DD2A23" w:rsidP="005F739C">
      <w:pPr>
        <w:ind w:firstLine="709"/>
        <w:jc w:val="both"/>
      </w:pPr>
    </w:p>
    <w:p w:rsidR="00124C54" w:rsidRDefault="00124C54" w:rsidP="005F739C">
      <w:pPr>
        <w:ind w:firstLine="709"/>
        <w:jc w:val="both"/>
      </w:pPr>
    </w:p>
    <w:p w:rsidR="00E86DED" w:rsidRDefault="00E86DED" w:rsidP="00006BA9">
      <w:pPr>
        <w:jc w:val="both"/>
      </w:pPr>
    </w:p>
    <w:p w:rsidR="006F3936" w:rsidRDefault="006F3936" w:rsidP="00006BA9">
      <w:pPr>
        <w:jc w:val="both"/>
      </w:pPr>
    </w:p>
    <w:p w:rsidR="00BD0A9E" w:rsidRPr="006F3936" w:rsidRDefault="00BD0A9E" w:rsidP="00006BA9">
      <w:pPr>
        <w:pStyle w:val="1"/>
        <w:rPr>
          <w:b w:val="0"/>
        </w:rPr>
      </w:pPr>
      <w:bookmarkStart w:id="4" w:name="_Toc6087090"/>
      <w:bookmarkStart w:id="5" w:name="_Toc6087131"/>
      <w:r w:rsidRPr="006F3936">
        <w:rPr>
          <w:rStyle w:val="30"/>
          <w:b/>
        </w:rPr>
        <w:lastRenderedPageBreak/>
        <w:t>Глава 2. Цифровые образовательные ресурсы: определение и классификация</w:t>
      </w:r>
      <w:r w:rsidRPr="006F3936">
        <w:rPr>
          <w:b w:val="0"/>
        </w:rPr>
        <w:t>.</w:t>
      </w:r>
      <w:bookmarkEnd w:id="4"/>
      <w:bookmarkEnd w:id="5"/>
    </w:p>
    <w:p w:rsidR="00E86DED" w:rsidRDefault="00E86DED" w:rsidP="00BD0A9E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E86DED">
        <w:rPr>
          <w:rFonts w:ascii="Times New Roman CYR" w:hAnsi="Times New Roman CYR" w:cs="Times New Roman CYR"/>
          <w:i/>
          <w:iCs/>
          <w:color w:val="000000"/>
        </w:rPr>
        <w:t xml:space="preserve">Цифровые образовательные ресурсы </w:t>
      </w:r>
      <w:r w:rsidR="00CD03E7">
        <w:rPr>
          <w:rFonts w:ascii="Times New Roman CYR" w:hAnsi="Times New Roman CYR" w:cs="Times New Roman CYR"/>
          <w:i/>
          <w:iCs/>
          <w:color w:val="000000"/>
        </w:rPr>
        <w:t xml:space="preserve">(ЦОР) </w:t>
      </w:r>
      <w:r w:rsidRPr="00E86DED">
        <w:rPr>
          <w:color w:val="000000"/>
        </w:rPr>
        <w:t xml:space="preserve">— </w:t>
      </w:r>
      <w:r w:rsidRPr="00E86DED">
        <w:rPr>
          <w:rFonts w:ascii="Times New Roman CYR" w:hAnsi="Times New Roman CYR" w:cs="Times New Roman CYR"/>
          <w:color w:val="000000"/>
        </w:rPr>
        <w:t>это представленные в цифровой форме фотографии, видеофрагменты, статические и динамические модели, объекты виртуальной реальности и интерактивного моделирования, картографические материалы, звукозаписи, символьные объекты и деловая графика, текстовые документы и иные учебные материалы, необходимые для организации учебного процесса</w:t>
      </w:r>
      <w:r w:rsidR="00CD03E7">
        <w:rPr>
          <w:rStyle w:val="a5"/>
          <w:rFonts w:ascii="Times New Roman CYR" w:hAnsi="Times New Roman CYR" w:cs="Times New Roman CYR"/>
          <w:color w:val="000000"/>
        </w:rPr>
        <w:footnoteReference w:id="4"/>
      </w:r>
      <w:r w:rsidRPr="00E86DED">
        <w:rPr>
          <w:rFonts w:ascii="Times New Roman CYR" w:hAnsi="Times New Roman CYR" w:cs="Times New Roman CYR"/>
          <w:color w:val="000000"/>
        </w:rPr>
        <w:t xml:space="preserve">. </w:t>
      </w:r>
    </w:p>
    <w:p w:rsidR="00CD03E7" w:rsidRPr="00BE30BE" w:rsidRDefault="00CD03E7" w:rsidP="00BD0A9E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E30BE">
        <w:rPr>
          <w:rFonts w:ascii="Times New Roman CYR" w:hAnsi="Times New Roman CYR" w:cs="Times New Roman CYR"/>
          <w:color w:val="000000"/>
        </w:rPr>
        <w:t>Существуют различные подходы к классификации и типологии ЦОР: по языковым средам, по целевому признаку, по типу обучения, по методическому назначению, по функциональному назначению, по механизму программирования и по типу предметной области, по дидактическим целям и по форме организации занятия и по другим основаниям. Все эти классификации носят условный и прикладной характер. Обратимся к некоторым из них.</w:t>
      </w:r>
    </w:p>
    <w:p w:rsidR="00CD03E7" w:rsidRPr="00BE30BE" w:rsidRDefault="00CD03E7" w:rsidP="00BD0A9E">
      <w:pPr>
        <w:ind w:firstLine="709"/>
        <w:jc w:val="both"/>
        <w:rPr>
          <w:b/>
        </w:rPr>
      </w:pPr>
      <w:r w:rsidRPr="00BE30BE">
        <w:rPr>
          <w:rFonts w:ascii="Times New Roman CYR" w:hAnsi="Times New Roman CYR" w:cs="Times New Roman CYR"/>
          <w:color w:val="000000"/>
        </w:rPr>
        <w:t>Классификация по функциональному назначению позволяет разделить ЦОР на группы в отношении тех функций, которые они выполняют в учебном процессе: тренинговые, диагностирующие, контролирующие, демонстрационные, моделирующие, коммуникативные, сервисные, досуговые. Например, электронный дневник относится к сервисным ЦОР.</w:t>
      </w:r>
    </w:p>
    <w:p w:rsidR="00E86DED" w:rsidRPr="00BE30BE" w:rsidRDefault="00BE30BE" w:rsidP="00BD0A9E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E30BE">
        <w:rPr>
          <w:rFonts w:ascii="Times New Roman CYR" w:hAnsi="Times New Roman CYR" w:cs="Times New Roman CYR"/>
          <w:color w:val="000000"/>
        </w:rPr>
        <w:t xml:space="preserve">Рассмотрим виды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>ЦОР по образовательно-методическим функциям</w:t>
      </w:r>
      <w:r w:rsidRPr="00BE30BE">
        <w:rPr>
          <w:rFonts w:ascii="Times New Roman CYR" w:hAnsi="Times New Roman CYR" w:cs="Times New Roman CYR"/>
          <w:color w:val="000000"/>
        </w:rPr>
        <w:t xml:space="preserve">. К ним относятся: 1.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учебники: </w:t>
      </w:r>
      <w:r w:rsidRPr="00BE30BE">
        <w:rPr>
          <w:rFonts w:ascii="Times New Roman CYR" w:hAnsi="Times New Roman CYR" w:cs="Times New Roman CYR"/>
          <w:color w:val="000000"/>
        </w:rPr>
        <w:t xml:space="preserve">прототипы традиционных учебников; оригинальные электронные учебники; предметные обучающие системы; предметные обучающие среды. 2.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учебные пособия: </w:t>
      </w:r>
      <w:r w:rsidRPr="00BE30BE">
        <w:rPr>
          <w:rFonts w:ascii="Times New Roman CYR" w:hAnsi="Times New Roman CYR" w:cs="Times New Roman CYR"/>
          <w:color w:val="000000"/>
        </w:rPr>
        <w:t xml:space="preserve">репетиторы; тренажеры; обучающие; обучающе-контролирующие; игровые; интерактивные; предметные коллекции; справочники и словари; практические и лабораторные. 3.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учебно-методические комплексы (УМК): </w:t>
      </w:r>
      <w:r w:rsidRPr="00BE30BE">
        <w:rPr>
          <w:rFonts w:ascii="Times New Roman CYR" w:hAnsi="Times New Roman CYR" w:cs="Times New Roman CYR"/>
          <w:color w:val="000000"/>
        </w:rPr>
        <w:t xml:space="preserve">предметные миры; программно-методические комплексы; предметные учебно-методические среды; инновационные УМК. 4. </w:t>
      </w:r>
      <w:r w:rsidRPr="00BE30BE">
        <w:rPr>
          <w:rFonts w:ascii="Times New Roman CYR" w:hAnsi="Times New Roman CYR" w:cs="Times New Roman CYR"/>
          <w:i/>
          <w:iCs/>
          <w:color w:val="000000"/>
        </w:rPr>
        <w:t xml:space="preserve">Электронные издания контроля: </w:t>
      </w:r>
      <w:r w:rsidRPr="00BE30BE">
        <w:rPr>
          <w:rFonts w:ascii="Times New Roman CYR" w:hAnsi="Times New Roman CYR" w:cs="Times New Roman CYR"/>
          <w:color w:val="000000"/>
        </w:rPr>
        <w:t>тесты; тестовые задания; методические рекомендации по тестированию; инструментальные средства.</w:t>
      </w:r>
    </w:p>
    <w:p w:rsidR="00BE30BE" w:rsidRPr="006F3936" w:rsidRDefault="00BE30BE" w:rsidP="006F3936">
      <w:pPr>
        <w:ind w:firstLine="709"/>
        <w:jc w:val="both"/>
        <w:rPr>
          <w:rFonts w:ascii="Times New Roman CYR" w:hAnsi="Times New Roman CYR" w:cs="Times New Roman CYR"/>
          <w:color w:val="000000"/>
        </w:rPr>
      </w:pPr>
      <w:r w:rsidRPr="00BE30BE">
        <w:rPr>
          <w:rFonts w:ascii="Times New Roman CYR" w:hAnsi="Times New Roman CYR" w:cs="Times New Roman CYR"/>
          <w:color w:val="000000"/>
        </w:rPr>
        <w:t>По типу информации можно выделить ЦОР с текстовой, визуальной, аудиоинформацией, а также комбинированные. При этом электронные учебники относятся к ЦОР со сложной структурой, которая сочетает в себе несколько типов информации.</w:t>
      </w:r>
    </w:p>
    <w:p w:rsidR="00BD0A9E" w:rsidRPr="00124C54" w:rsidRDefault="00BD0A9E" w:rsidP="00006BA9">
      <w:pPr>
        <w:pStyle w:val="1"/>
      </w:pPr>
      <w:bookmarkStart w:id="6" w:name="_Toc6087091"/>
      <w:bookmarkStart w:id="7" w:name="_Toc6087132"/>
      <w:r w:rsidRPr="00124C54">
        <w:lastRenderedPageBreak/>
        <w:t>Глава 3. Цифровые образовательные ресурсы в гимназии 1505: сфера применения, плюсы и минусы.</w:t>
      </w:r>
      <w:bookmarkEnd w:id="6"/>
      <w:bookmarkEnd w:id="7"/>
    </w:p>
    <w:p w:rsidR="00C52026" w:rsidRDefault="00BD0A9E" w:rsidP="005F739C">
      <w:pPr>
        <w:ind w:firstLine="709"/>
        <w:jc w:val="both"/>
      </w:pPr>
      <w:r>
        <w:t>Гимназия 1505 придает большое значение использованию ИКТ на занятиях. Все кабинеты оборудованы интерактивными досками с возможностью выхода в интернет.</w:t>
      </w:r>
    </w:p>
    <w:p w:rsidR="00BD0A9E" w:rsidRDefault="00BD0A9E" w:rsidP="005F739C">
      <w:pPr>
        <w:ind w:firstLine="709"/>
        <w:jc w:val="both"/>
      </w:pPr>
      <w:r>
        <w:t>Мы проанализировали те цифровые образовательные ресурсы, которые используются на занятиях в 9 классе, выделили их плюсы и минусы.</w:t>
      </w:r>
    </w:p>
    <w:p w:rsidR="00BD0A9E" w:rsidRDefault="00BD0A9E" w:rsidP="005F739C">
      <w:pPr>
        <w:ind w:firstLine="709"/>
        <w:jc w:val="both"/>
      </w:pPr>
      <w:r>
        <w:t xml:space="preserve">Во-первых, следует упомянуть, что на занятиях по информатике компьютер используется для овладения предметными умениями. </w:t>
      </w:r>
      <w:r w:rsidR="001E3EC8">
        <w:t xml:space="preserve">Поскольку </w:t>
      </w:r>
      <w:bookmarkStart w:id="8" w:name="_GoBack"/>
      <w:bookmarkEnd w:id="8"/>
      <w:r w:rsidR="001E3EC8">
        <w:t xml:space="preserve">ученики учатся программированию, то применяются такая программа, как </w:t>
      </w:r>
      <w:r w:rsidR="001E3EC8">
        <w:rPr>
          <w:lang w:val="de-DE"/>
        </w:rPr>
        <w:t>PascalABC</w:t>
      </w:r>
      <w:r w:rsidR="001E3EC8">
        <w:t>. Она позволяет писать учебные программы, то есть моделировать профессиональную деятельность будущих программистов. С ее помощью можно наглядно применить изученный теоретический материал, получив реальный программный продукт.</w:t>
      </w:r>
    </w:p>
    <w:p w:rsidR="001E3EC8" w:rsidRDefault="001E3EC8" w:rsidP="005F739C">
      <w:pPr>
        <w:ind w:firstLine="709"/>
        <w:jc w:val="both"/>
      </w:pPr>
      <w:r>
        <w:t xml:space="preserve">На уроках биологии и обществознания ученики используют ресурс «Решу ОГЭ» </w:t>
      </w:r>
      <w:hyperlink r:id="rId8" w:history="1">
        <w:r w:rsidR="00F53932">
          <w:rPr>
            <w:rStyle w:val="a6"/>
          </w:rPr>
          <w:t>https://ege.sdamgia.ru/</w:t>
        </w:r>
      </w:hyperlink>
      <w:r>
        <w:t>. Он представляет собой сайт с разнообразными тестами в формате ОГЭ и автоматической проверкой ответов. Есть возможность выполнения заданий в индивидуальном порядке, что позволяет отследить индивидуальный прогресс ученика. Можно выполнять одинаковые задания в группе, соответственно сравнивать учащихся между собой. Ученикам доступны результаты по каждому тесту</w:t>
      </w:r>
      <w:r w:rsidR="00124C54">
        <w:t xml:space="preserve">, что позволяет совершить самоконтроль и рефлексию. Еще одним достоинством программы является то, что учащихся могут видеть правильное решение и понимать, в чем состояла их ошибка. Недостатком ресурса является отсутствие коммуникации с учеником: не видно оценок за каждый тест, не всегда приходит уведомление о том, что ученику прислан следующий тест. </w:t>
      </w:r>
    </w:p>
    <w:p w:rsidR="008265DB" w:rsidRDefault="008265DB" w:rsidP="005F739C">
      <w:pPr>
        <w:ind w:firstLine="709"/>
        <w:jc w:val="both"/>
      </w:pPr>
      <w:r>
        <w:t xml:space="preserve">На занятиях по обществознанию используется сетевой образовательный ресурс </w:t>
      </w:r>
      <w:r>
        <w:rPr>
          <w:lang w:val="en-US"/>
        </w:rPr>
        <w:t>LMS</w:t>
      </w:r>
      <w:r w:rsidRPr="008265DB">
        <w:t xml:space="preserve"> </w:t>
      </w:r>
      <w:r>
        <w:rPr>
          <w:lang w:val="en-US"/>
        </w:rPr>
        <w:t>Moodle</w:t>
      </w:r>
      <w:r>
        <w:t xml:space="preserve">. </w:t>
      </w:r>
      <w:r w:rsidR="00D11EE5">
        <w:t>В нем учитель выкладывает домашнее задание. На самом деле этот ресурс может быть использован более эффективно, так как платформа позволяет загружать в нее полноценные дистанционные курсы, с заданиями, тестами, текстами, видеофрагментам и т.д. Более того, можно управлять деятельностью ученика, устанавливая дедлайны, размещая индивидуальные задания и т.д. Использовать платформу только для коммуникации, например, трансляции домашнего задания неразумно.</w:t>
      </w:r>
    </w:p>
    <w:p w:rsidR="00D11EE5" w:rsidRDefault="00D11EE5" w:rsidP="005F739C">
      <w:pPr>
        <w:ind w:firstLine="709"/>
        <w:jc w:val="both"/>
      </w:pPr>
      <w:r>
        <w:t xml:space="preserve">На занятиях по английскому языку та же самая платформа используется в качестве ресурса для тестирования учеников, при этом тесты носят также </w:t>
      </w:r>
      <w:r>
        <w:lastRenderedPageBreak/>
        <w:t>индивидуальный характер. В 7 классе эта платформа использовалась на занятиях по биологии, истории также для домашней работы и тестирования.</w:t>
      </w:r>
    </w:p>
    <w:p w:rsidR="00D11EE5" w:rsidRDefault="00D11EE5" w:rsidP="005F739C">
      <w:pPr>
        <w:ind w:firstLine="709"/>
        <w:jc w:val="both"/>
      </w:pPr>
      <w:r>
        <w:t>Сейчас на занятиях по истории используется информационная система МЭШ. Это многофункциональная система, предназначена не только для учеников, но и подходит для учителей, которые могут размещать там свои уроки, пользоваться уроками коллег, там есть методическая поддержка. Уроки в МЭШ изначально планировались как самодостаточные, то есть покрывали все этапы процесса освоения содержания обучения</w:t>
      </w:r>
      <w:r w:rsidR="00F93BB9">
        <w:t>, то есть ученики могут ознакомиться с материалом (в текстовом формате), выполнить закрепляющие и тренировочные задания, а затем проверить себя по тестам. Предлагаются задания разного уровня. Система имеет множество недостатков, как технического, так и содержательного плана.</w:t>
      </w:r>
    </w:p>
    <w:p w:rsidR="00F93BB9" w:rsidRDefault="00F93BB9" w:rsidP="005F739C">
      <w:pPr>
        <w:ind w:firstLine="709"/>
        <w:jc w:val="both"/>
      </w:pPr>
      <w:r>
        <w:t>Во-первых, она не всегда корректно открывается, во-вторых сложно найти подходящий материал, тестовые задания не всегда корректно проверяются в автоматическом режиме, иногда технически неясно, как нужно их выполнять. В-третьих, иногда приходится делать скрин-шоты правильных ответов и отправлять их просто в документе учителю.</w:t>
      </w:r>
    </w:p>
    <w:p w:rsidR="00F93BB9" w:rsidRPr="008265DB" w:rsidRDefault="00F93BB9" w:rsidP="005F739C">
      <w:pPr>
        <w:ind w:firstLine="709"/>
        <w:jc w:val="both"/>
      </w:pPr>
      <w:r>
        <w:t>В содержательном отношении тексты предлагаются большого объема, их содержание не отличается от учебника, не дает новой информации. Тесты составлены таким образом, что на вопросы можно ответить, не читая и не перерабатывая информацию параграфа. Неограниченное количество попыток создает соблазн копирования правильного ответа.</w:t>
      </w:r>
      <w:r w:rsidR="0060172A">
        <w:t xml:space="preserve"> Ресурс не использован для расширения изучаемых тем, он просто повторяет учебник.</w:t>
      </w:r>
    </w:p>
    <w:p w:rsidR="00C52026" w:rsidRDefault="0060172A" w:rsidP="005F739C">
      <w:pPr>
        <w:ind w:firstLine="709"/>
        <w:jc w:val="both"/>
      </w:pPr>
      <w:r>
        <w:t xml:space="preserve">Программа </w:t>
      </w:r>
      <w:r>
        <w:rPr>
          <w:lang w:val="en-US"/>
        </w:rPr>
        <w:t>Castle</w:t>
      </w:r>
      <w:r w:rsidRPr="0060172A">
        <w:t xml:space="preserve"> </w:t>
      </w:r>
      <w:r>
        <w:rPr>
          <w:lang w:val="en-US"/>
        </w:rPr>
        <w:t>Quiz</w:t>
      </w:r>
      <w:r w:rsidRPr="0060172A">
        <w:t xml:space="preserve"> </w:t>
      </w:r>
      <w:r>
        <w:t>представляет собой интересную попытку игрового соревновательного ресурса по разным предметам. Мы опишем эту программу на примере истории. Можно выбрать тематику дуэли, которая проходит между двумя участниками. Ученик соревнуется с виртуальным соперником на скорость и правильность ответов. Вопросы интересные, не банальные, требующие не только знания предмета, но и догадки, творчества, анализа имеющейся информации. Игровой характер ресурса дает возможность перенести фокус от учения на игру и тем самым обеспечивает стойкое запоминание информации.</w:t>
      </w:r>
    </w:p>
    <w:p w:rsidR="0060172A" w:rsidRDefault="0060172A" w:rsidP="005F739C">
      <w:pPr>
        <w:ind w:firstLine="709"/>
        <w:jc w:val="both"/>
      </w:pPr>
      <w:r>
        <w:t xml:space="preserve">На занятиях по биологии и английскому языку используется приложение </w:t>
      </w:r>
      <w:r>
        <w:rPr>
          <w:lang w:val="en-US"/>
        </w:rPr>
        <w:t>Kahoot</w:t>
      </w:r>
      <w:r>
        <w:t xml:space="preserve">. Им можно пользоваться на планшете и </w:t>
      </w:r>
      <w:r w:rsidR="0030686A">
        <w:t xml:space="preserve">смартфоне. Учитель объявляет игру,  ученики заходят в своей профиль и создается соревновательный класс. Предлагаются вопросы и варианты ответов. При этом побеждает тот, кто </w:t>
      </w:r>
      <w:r w:rsidR="0030686A">
        <w:lastRenderedPageBreak/>
        <w:t xml:space="preserve">отвечает быстро и правильно. Плюсы этой игры в том, что в таком же соревновательном режиме усваивается изучаемый материал. Минусы в том, что в отличие от </w:t>
      </w:r>
      <w:r w:rsidR="0030686A">
        <w:rPr>
          <w:lang w:val="en-US"/>
        </w:rPr>
        <w:t>Castle</w:t>
      </w:r>
      <w:r w:rsidR="0030686A" w:rsidRPr="0030686A">
        <w:t xml:space="preserve"> </w:t>
      </w:r>
      <w:r w:rsidR="0030686A">
        <w:rPr>
          <w:lang w:val="en-US"/>
        </w:rPr>
        <w:t>Quiz</w:t>
      </w:r>
      <w:r w:rsidR="0030686A">
        <w:t xml:space="preserve"> играть можно только большой группой. Дома или на отдыхе к этой игре обратиться нельзя.</w:t>
      </w:r>
    </w:p>
    <w:p w:rsidR="0030686A" w:rsidRDefault="0030686A" w:rsidP="005F739C">
      <w:pPr>
        <w:ind w:firstLine="709"/>
        <w:jc w:val="both"/>
      </w:pPr>
      <w:r>
        <w:t xml:space="preserve">На уроках английского языка используется программа </w:t>
      </w:r>
      <w:r>
        <w:rPr>
          <w:lang w:val="en-US"/>
        </w:rPr>
        <w:t>Quizlet</w:t>
      </w:r>
      <w:r>
        <w:t>. Это программа для индивидуального изучения иностранных слов. Учитель создает списки слов, учащиеся учат их самостоятельно, как онлайн, так и офлайн. Есть возможности изучать слова в игровом режиме</w:t>
      </w:r>
      <w:r w:rsidR="0075001C">
        <w:t>. Программа позволяет контролировать усвоение через тесты и удаленный контроль класса. На уроках можно также устраивать соревнования, проверяя усвояемость лексики. Эта программа очень удачная для хранения и тренировки слов, ею можно пользоваться где-угодно, повторять слова, тренироваться в их написании и т.д.</w:t>
      </w:r>
    </w:p>
    <w:p w:rsidR="0075001C" w:rsidRPr="0030686A" w:rsidRDefault="0075001C" w:rsidP="005F739C">
      <w:pPr>
        <w:ind w:firstLine="709"/>
        <w:jc w:val="both"/>
      </w:pPr>
      <w:r>
        <w:t xml:space="preserve">В целом все программы, которые используется в школе, применяются по  назначению. Было бы интересно, использовать больше интерактивных программ с симуляцией действительности, демонстрации экспериментов, видеофрагментами и сюжетами. </w:t>
      </w:r>
    </w:p>
    <w:p w:rsidR="0030686A" w:rsidRPr="0030686A" w:rsidRDefault="0030686A" w:rsidP="005F739C">
      <w:pPr>
        <w:ind w:firstLine="709"/>
        <w:jc w:val="both"/>
      </w:pPr>
    </w:p>
    <w:p w:rsidR="00C52026" w:rsidRPr="001A1B62" w:rsidRDefault="00BE30BE" w:rsidP="00006BA9">
      <w:pPr>
        <w:pStyle w:val="1"/>
      </w:pPr>
      <w:bookmarkStart w:id="9" w:name="_Toc6087092"/>
      <w:bookmarkStart w:id="10" w:name="_Toc6087133"/>
      <w:r w:rsidRPr="001A1B62">
        <w:t>Заключение</w:t>
      </w:r>
      <w:bookmarkEnd w:id="9"/>
      <w:bookmarkEnd w:id="10"/>
    </w:p>
    <w:p w:rsidR="00BE30BE" w:rsidRDefault="00BE30BE" w:rsidP="005F739C">
      <w:pPr>
        <w:ind w:firstLine="709"/>
        <w:jc w:val="both"/>
      </w:pPr>
      <w:r>
        <w:t xml:space="preserve">В заключении хотим заметить, что без использования информационных образовательных ресурсов современная школа не может обойтись по нескольким причинам. Во-первых, они вносят вклад в </w:t>
      </w:r>
      <w:r w:rsidR="00C44575">
        <w:t>индивидуализацию</w:t>
      </w:r>
      <w:r>
        <w:t>, дифференциацию обучения и повышение самостоятельности учащихся. Во-вторых, их использование соответствует веяни</w:t>
      </w:r>
      <w:r w:rsidR="00C44575">
        <w:t>ю</w:t>
      </w:r>
      <w:r>
        <w:t xml:space="preserve"> времени. Учащиеся используют программы и приложения в реальной жизни и не могут обойтись без них в </w:t>
      </w:r>
      <w:r w:rsidR="00C44575">
        <w:t>школе. В третьих, ЦОР позволяют моделировать условия действительности и вносят вклад во всестороннее развитие ученика.</w:t>
      </w:r>
    </w:p>
    <w:p w:rsidR="00C52026" w:rsidRDefault="006F3936" w:rsidP="006F3936">
      <w:pPr>
        <w:ind w:firstLine="709"/>
        <w:jc w:val="both"/>
      </w:pPr>
      <w:r>
        <w:br w:type="page"/>
      </w:r>
    </w:p>
    <w:p w:rsidR="00C52026" w:rsidRDefault="00A93D8E" w:rsidP="00006BA9">
      <w:pPr>
        <w:pStyle w:val="1"/>
      </w:pPr>
      <w:bookmarkStart w:id="11" w:name="_Toc6087093"/>
      <w:bookmarkStart w:id="12" w:name="_Toc6087134"/>
      <w:r>
        <w:lastRenderedPageBreak/>
        <w:t>Список использованной литературы</w:t>
      </w:r>
      <w:bookmarkEnd w:id="11"/>
      <w:bookmarkEnd w:id="12"/>
    </w:p>
    <w:p w:rsidR="006F3936" w:rsidRPr="006F3936" w:rsidRDefault="006F3936" w:rsidP="006F3936"/>
    <w:p w:rsidR="00A93D8E" w:rsidRPr="00A93D8E" w:rsidRDefault="00A93D8E" w:rsidP="006F393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3D8E">
        <w:rPr>
          <w:sz w:val="28"/>
          <w:szCs w:val="28"/>
        </w:rPr>
        <w:t xml:space="preserve">Лекции переносят в онлайн-аудиторию // Коммерсант, № 179 от 02.10.2018 (режим доступа: </w:t>
      </w:r>
      <w:hyperlink r:id="rId9" w:history="1">
        <w:r w:rsidRPr="00A93D8E">
          <w:rPr>
            <w:rStyle w:val="a6"/>
            <w:sz w:val="28"/>
            <w:szCs w:val="28"/>
          </w:rPr>
          <w:t>https://www.kommersant.ru/doc/3758336</w:t>
        </w:r>
      </w:hyperlink>
      <w:r w:rsidRPr="00A93D8E">
        <w:rPr>
          <w:sz w:val="28"/>
          <w:szCs w:val="28"/>
        </w:rPr>
        <w:t>; дата обращения 18.12.2018)</w:t>
      </w:r>
    </w:p>
    <w:p w:rsidR="00A93D8E" w:rsidRPr="00A93D8E" w:rsidRDefault="00A93D8E" w:rsidP="006F393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3D8E">
        <w:rPr>
          <w:color w:val="000000"/>
          <w:sz w:val="28"/>
          <w:szCs w:val="28"/>
        </w:rPr>
        <w:t>Михеева Е.В. Практикум по информационным технологиям в профессиональной деятельности. М., 2006.</w:t>
      </w:r>
    </w:p>
    <w:p w:rsidR="00A93D8E" w:rsidRPr="00A93D8E" w:rsidRDefault="00A93D8E" w:rsidP="006F393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3D8E">
        <w:rPr>
          <w:sz w:val="28"/>
          <w:szCs w:val="28"/>
        </w:rPr>
        <w:t>Пащенко О.И. Информационные технологии в образовании: учебно-методическое пособие. – Нижеквартовск: Изд-во Нижневарт. гос. ун-та., 2013 – С.24.</w:t>
      </w:r>
    </w:p>
    <w:p w:rsidR="00A93D8E" w:rsidRDefault="00A93D8E" w:rsidP="006F393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A93D8E">
        <w:rPr>
          <w:sz w:val="28"/>
          <w:szCs w:val="28"/>
        </w:rPr>
        <w:t>Чванова М.С., Вязова О.В., Дидяткин С.М. Информатизация образовательного пространства: исторический экскурс // Гаудеамус, № 2, 2004. С. 84-89.</w:t>
      </w:r>
    </w:p>
    <w:p w:rsidR="00B71077" w:rsidRPr="00B71077" w:rsidRDefault="00B71077" w:rsidP="006F3936">
      <w:pPr>
        <w:pStyle w:val="a3"/>
        <w:numPr>
          <w:ilvl w:val="0"/>
          <w:numId w:val="1"/>
        </w:numPr>
        <w:spacing w:line="276" w:lineRule="auto"/>
        <w:rPr>
          <w:sz w:val="28"/>
          <w:szCs w:val="28"/>
        </w:rPr>
      </w:pPr>
      <w:r w:rsidRPr="00B71077">
        <w:rPr>
          <w:sz w:val="28"/>
          <w:szCs w:val="28"/>
        </w:rPr>
        <w:t>Шухардина В.А. Системное использование педагогических и информационных технологий в образовании // Вестник Московского университета. Серия «Педагогическое образование», № 3, 2012. С. 75-81</w:t>
      </w:r>
    </w:p>
    <w:p w:rsidR="00A93D8E" w:rsidRPr="00B71077" w:rsidRDefault="00A93D8E" w:rsidP="006F3936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p w:rsidR="00C52026" w:rsidRDefault="00C52026" w:rsidP="005F739C">
      <w:pPr>
        <w:ind w:firstLine="709"/>
        <w:jc w:val="both"/>
      </w:pPr>
    </w:p>
    <w:sectPr w:rsidR="00C52026" w:rsidSect="006F3936">
      <w:footerReference w:type="default" r:id="rId10"/>
      <w:pgSz w:w="11906" w:h="16838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D6E" w:rsidRDefault="005E4D6E" w:rsidP="001A4AED">
      <w:pPr>
        <w:spacing w:after="0" w:line="240" w:lineRule="auto"/>
      </w:pPr>
      <w:r>
        <w:separator/>
      </w:r>
    </w:p>
  </w:endnote>
  <w:endnote w:type="continuationSeparator" w:id="0">
    <w:p w:rsidR="005E4D6E" w:rsidRDefault="005E4D6E" w:rsidP="001A4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76389757"/>
      <w:docPartObj>
        <w:docPartGallery w:val="Page Numbers (Bottom of Page)"/>
        <w:docPartUnique/>
      </w:docPartObj>
    </w:sdtPr>
    <w:sdtEndPr/>
    <w:sdtContent>
      <w:p w:rsidR="001A1B62" w:rsidRDefault="001A1B62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3932">
          <w:rPr>
            <w:noProof/>
          </w:rPr>
          <w:t>9</w:t>
        </w:r>
        <w:r>
          <w:fldChar w:fldCharType="end"/>
        </w:r>
      </w:p>
    </w:sdtContent>
  </w:sdt>
  <w:p w:rsidR="001A1B62" w:rsidRDefault="001A1B6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D6E" w:rsidRDefault="005E4D6E" w:rsidP="001A4AED">
      <w:pPr>
        <w:spacing w:after="0" w:line="240" w:lineRule="auto"/>
      </w:pPr>
      <w:r>
        <w:separator/>
      </w:r>
    </w:p>
  </w:footnote>
  <w:footnote w:type="continuationSeparator" w:id="0">
    <w:p w:rsidR="005E4D6E" w:rsidRDefault="005E4D6E" w:rsidP="001A4AED">
      <w:pPr>
        <w:spacing w:after="0" w:line="240" w:lineRule="auto"/>
      </w:pPr>
      <w:r>
        <w:continuationSeparator/>
      </w:r>
    </w:p>
  </w:footnote>
  <w:footnote w:id="1">
    <w:p w:rsidR="001A4AED" w:rsidRDefault="001A4AED">
      <w:pPr>
        <w:pStyle w:val="a3"/>
      </w:pPr>
      <w:r>
        <w:rPr>
          <w:rStyle w:val="a5"/>
        </w:rPr>
        <w:footnoteRef/>
      </w:r>
      <w:r>
        <w:t xml:space="preserve"> </w:t>
      </w:r>
      <w:r w:rsidR="00C95622">
        <w:t xml:space="preserve">Лекции переносят в онлайн-аудиторию // Коммерсант, № 179 от 02.10.2018 (режим доступа: </w:t>
      </w:r>
      <w:hyperlink r:id="rId1" w:history="1">
        <w:r w:rsidRPr="001158C0">
          <w:rPr>
            <w:rStyle w:val="a6"/>
          </w:rPr>
          <w:t>https://www.kommersant.ru/doc/3758336</w:t>
        </w:r>
      </w:hyperlink>
      <w:r w:rsidR="00C95622">
        <w:t>; дата обращения 18.12.2018)</w:t>
      </w:r>
    </w:p>
  </w:footnote>
  <w:footnote w:id="2">
    <w:p w:rsidR="00FF2187" w:rsidRDefault="00FF2187">
      <w:pPr>
        <w:pStyle w:val="a3"/>
      </w:pPr>
      <w:r>
        <w:rPr>
          <w:rStyle w:val="a5"/>
        </w:rPr>
        <w:footnoteRef/>
      </w:r>
      <w:r>
        <w:t xml:space="preserve"> Пащенко О.И. Информационные технологии в образовании: учебно-методическое пособие. – Нижеквартовск: Изд-во Нижневарт. гос. ун-та., 2013 – С.24.</w:t>
      </w:r>
    </w:p>
  </w:footnote>
  <w:footnote w:id="3">
    <w:p w:rsidR="00FF2187" w:rsidRDefault="00FF2187">
      <w:pPr>
        <w:pStyle w:val="a3"/>
      </w:pPr>
      <w:r>
        <w:rPr>
          <w:rStyle w:val="a5"/>
        </w:rPr>
        <w:footnoteRef/>
      </w:r>
      <w:r>
        <w:t xml:space="preserve"> Чванова М.С., Вязова О.В., Дидяткин С.М. Информатизация образовательного пространства: исторический экскурс // Гаудеамус, № 2, 2004. С. </w:t>
      </w:r>
      <w:r w:rsidR="004A2D8C">
        <w:t>84-89.</w:t>
      </w:r>
    </w:p>
  </w:footnote>
  <w:footnote w:id="4">
    <w:p w:rsidR="00CD03E7" w:rsidRDefault="00CD03E7">
      <w:pPr>
        <w:pStyle w:val="a3"/>
      </w:pPr>
      <w:r>
        <w:rPr>
          <w:rStyle w:val="a5"/>
        </w:rPr>
        <w:footnoteRef/>
      </w:r>
      <w:r>
        <w:t xml:space="preserve"> </w:t>
      </w:r>
      <w:r>
        <w:rPr>
          <w:rFonts w:ascii="Times New Roman CYR" w:hAnsi="Times New Roman CYR" w:cs="Times New Roman CYR"/>
          <w:color w:val="000000"/>
          <w:sz w:val="22"/>
          <w:szCs w:val="22"/>
        </w:rPr>
        <w:t>Михеева Е.В. Практикум по информационным технологиям в профессиональной деятельности. М., 2006.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837511"/>
    <w:multiLevelType w:val="hybridMultilevel"/>
    <w:tmpl w:val="CA34E0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6"/>
    <w:rsid w:val="00006BA9"/>
    <w:rsid w:val="00124C54"/>
    <w:rsid w:val="001329F7"/>
    <w:rsid w:val="00172457"/>
    <w:rsid w:val="001A1B62"/>
    <w:rsid w:val="001A4AED"/>
    <w:rsid w:val="001E3EC8"/>
    <w:rsid w:val="0030686A"/>
    <w:rsid w:val="003365F0"/>
    <w:rsid w:val="00356A83"/>
    <w:rsid w:val="003E2E96"/>
    <w:rsid w:val="0040511F"/>
    <w:rsid w:val="004179F2"/>
    <w:rsid w:val="0042128D"/>
    <w:rsid w:val="00455AC9"/>
    <w:rsid w:val="004A2D8C"/>
    <w:rsid w:val="004B3FCE"/>
    <w:rsid w:val="004C638A"/>
    <w:rsid w:val="00514E63"/>
    <w:rsid w:val="00562895"/>
    <w:rsid w:val="005E4D6E"/>
    <w:rsid w:val="005F739C"/>
    <w:rsid w:val="0060172A"/>
    <w:rsid w:val="006330EA"/>
    <w:rsid w:val="00680440"/>
    <w:rsid w:val="006F3936"/>
    <w:rsid w:val="0075001C"/>
    <w:rsid w:val="0075632A"/>
    <w:rsid w:val="007606A1"/>
    <w:rsid w:val="007F70B8"/>
    <w:rsid w:val="008265DB"/>
    <w:rsid w:val="00862C85"/>
    <w:rsid w:val="009D3A36"/>
    <w:rsid w:val="00A93D8E"/>
    <w:rsid w:val="00B358EA"/>
    <w:rsid w:val="00B71077"/>
    <w:rsid w:val="00BD0A9E"/>
    <w:rsid w:val="00BE30BE"/>
    <w:rsid w:val="00C05160"/>
    <w:rsid w:val="00C251EF"/>
    <w:rsid w:val="00C44575"/>
    <w:rsid w:val="00C52026"/>
    <w:rsid w:val="00C95622"/>
    <w:rsid w:val="00CD03E7"/>
    <w:rsid w:val="00D11EE5"/>
    <w:rsid w:val="00D6012B"/>
    <w:rsid w:val="00D76F01"/>
    <w:rsid w:val="00D91EA1"/>
    <w:rsid w:val="00DD2A23"/>
    <w:rsid w:val="00E6697B"/>
    <w:rsid w:val="00E86DED"/>
    <w:rsid w:val="00F12662"/>
    <w:rsid w:val="00F4560B"/>
    <w:rsid w:val="00F53932"/>
    <w:rsid w:val="00F64DDA"/>
    <w:rsid w:val="00F751C0"/>
    <w:rsid w:val="00F93BB9"/>
    <w:rsid w:val="00FA1E81"/>
    <w:rsid w:val="00FF2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AEB37-7DCF-4251-813B-E81C2BB17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06BA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06BA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06B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006BA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A4AE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A4AE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A4AED"/>
    <w:rPr>
      <w:vertAlign w:val="superscript"/>
    </w:rPr>
  </w:style>
  <w:style w:type="character" w:styleId="a6">
    <w:name w:val="Hyperlink"/>
    <w:basedOn w:val="a0"/>
    <w:uiPriority w:val="99"/>
    <w:unhideWhenUsed/>
    <w:rsid w:val="001A4AED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51EF"/>
  </w:style>
  <w:style w:type="paragraph" w:styleId="a9">
    <w:name w:val="footer"/>
    <w:basedOn w:val="a"/>
    <w:link w:val="aa"/>
    <w:uiPriority w:val="99"/>
    <w:unhideWhenUsed/>
    <w:rsid w:val="00C251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51EF"/>
  </w:style>
  <w:style w:type="character" w:customStyle="1" w:styleId="10">
    <w:name w:val="Заголовок 1 Знак"/>
    <w:basedOn w:val="a0"/>
    <w:link w:val="1"/>
    <w:uiPriority w:val="9"/>
    <w:rsid w:val="00006BA9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006BA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06B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006BA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b">
    <w:name w:val="TOC Heading"/>
    <w:basedOn w:val="1"/>
    <w:next w:val="a"/>
    <w:uiPriority w:val="39"/>
    <w:semiHidden/>
    <w:unhideWhenUsed/>
    <w:qFormat/>
    <w:rsid w:val="00006BA9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06BA9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006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06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8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e.sdamgia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kommersant.ru/doc/3758336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kommersant.ru/doc/37583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2A76E-BB7A-4551-9E5B-D930AD0975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2850</Words>
  <Characters>16249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0169</cp:lastModifiedBy>
  <cp:revision>2</cp:revision>
  <dcterms:created xsi:type="dcterms:W3CDTF">2019-04-14T16:18:00Z</dcterms:created>
  <dcterms:modified xsi:type="dcterms:W3CDTF">2019-04-14T16:18:00Z</dcterms:modified>
</cp:coreProperties>
</file>